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B2" w:rsidRPr="007629B2" w:rsidRDefault="007629B2" w:rsidP="00CF4D2A">
      <w:pPr>
        <w:spacing w:line="360" w:lineRule="auto"/>
        <w:ind w:firstLine="2268"/>
        <w:jc w:val="both"/>
        <w:rPr>
          <w:rFonts w:ascii="Arial" w:hAnsi="Arial" w:cs="Arial"/>
          <w:b/>
        </w:rPr>
      </w:pPr>
    </w:p>
    <w:p w:rsidR="007629B2" w:rsidRDefault="007629B2" w:rsidP="00CF4D2A">
      <w:pPr>
        <w:spacing w:line="360" w:lineRule="auto"/>
        <w:jc w:val="both"/>
        <w:rPr>
          <w:rFonts w:ascii="Arial" w:hAnsi="Arial" w:cs="Arial"/>
          <w:b/>
        </w:rPr>
      </w:pPr>
      <w:r w:rsidRPr="007629B2">
        <w:rPr>
          <w:rFonts w:ascii="Arial" w:hAnsi="Arial" w:cs="Arial"/>
          <w:b/>
        </w:rPr>
        <w:t xml:space="preserve">Projeto de Lei nº 024/2018  </w:t>
      </w:r>
      <w:r w:rsidR="00CF4D2A">
        <w:rPr>
          <w:rFonts w:ascii="Arial" w:hAnsi="Arial" w:cs="Arial"/>
          <w:b/>
        </w:rPr>
        <w:t xml:space="preserve">                                                  de 13 </w:t>
      </w:r>
      <w:r w:rsidRPr="007629B2">
        <w:rPr>
          <w:rFonts w:ascii="Arial" w:hAnsi="Arial" w:cs="Arial"/>
          <w:b/>
        </w:rPr>
        <w:t>de agosto de 2018.</w:t>
      </w:r>
    </w:p>
    <w:p w:rsidR="007629B2" w:rsidRPr="007629B2" w:rsidRDefault="007629B2" w:rsidP="00CF4D2A">
      <w:pPr>
        <w:spacing w:line="360" w:lineRule="auto"/>
        <w:jc w:val="both"/>
        <w:rPr>
          <w:rFonts w:ascii="Arial" w:hAnsi="Arial" w:cs="Arial"/>
          <w:b/>
        </w:rPr>
      </w:pPr>
    </w:p>
    <w:p w:rsidR="007629B2" w:rsidRPr="007629B2" w:rsidRDefault="007629B2" w:rsidP="00CF4D2A">
      <w:pPr>
        <w:spacing w:line="360" w:lineRule="auto"/>
        <w:ind w:left="3402"/>
        <w:jc w:val="both"/>
        <w:rPr>
          <w:rFonts w:ascii="Arial" w:hAnsi="Arial" w:cs="Arial"/>
          <w:b/>
        </w:rPr>
      </w:pPr>
      <w:r w:rsidRPr="007629B2">
        <w:rPr>
          <w:rFonts w:ascii="Arial" w:hAnsi="Arial" w:cs="Arial"/>
          <w:b/>
        </w:rPr>
        <w:t>Dispõe sobre as diretrizes orçamentárias para o exercício financeiro de 2019.</w:t>
      </w:r>
    </w:p>
    <w:p w:rsidR="007629B2" w:rsidRPr="007629B2" w:rsidRDefault="007629B2" w:rsidP="00CF4D2A">
      <w:pPr>
        <w:spacing w:line="360" w:lineRule="auto"/>
        <w:ind w:left="3402"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0" w:name="_Toc515609474"/>
      <w:r w:rsidRPr="007629B2">
        <w:rPr>
          <w:rFonts w:ascii="Arial" w:hAnsi="Arial" w:cs="Arial"/>
          <w:b/>
        </w:rPr>
        <w:t>Capítulo I - Disposições Preliminares</w:t>
      </w:r>
      <w:bookmarkEnd w:id="0"/>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1º Ficam estabelecidas, em cumprimento ao disposto no art. 165, § 2.º, da Constituição Federal, na Lei Orgânica do Município, e na </w:t>
      </w:r>
      <w:proofErr w:type="gramStart"/>
      <w:r w:rsidRPr="007629B2">
        <w:rPr>
          <w:rFonts w:ascii="Arial" w:hAnsi="Arial" w:cs="Arial"/>
        </w:rPr>
        <w:t>Lei</w:t>
      </w:r>
      <w:proofErr w:type="gramEnd"/>
      <w:r w:rsidRPr="007629B2">
        <w:rPr>
          <w:rFonts w:ascii="Arial" w:hAnsi="Arial" w:cs="Arial"/>
        </w:rPr>
        <w:t xml:space="preserve"> Complementar nº 101, de 04 de maio de 2000, as diretrizes gerais para elaboração do orçamento do Município, relativas ao exercício de 2019, compreendendo: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as metas e riscos fiscais;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as prioridades e metas da administração municipal extraídas do Plano Plurianual para 2018/2021;</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a organização e estrutura do orçamento;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as diretrizes para elaboração e execução do orçamento e suas alterações;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as disposições relativas à dívida pública municipal;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as disposições relativas às despesas do Município com pessoal e encargos sociais;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as disposições sobre alterações na legislação tributária;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as Disposições Relativas ao Regime de Execução das Emendas Individuais apresentadas ao projeto de lei orçamentária anual;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IX - as disposições gerais.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As diretrizes orçamentárias têm entre suas finalidades: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xml:space="preserve">I – orientar a elaboração e a execução da Lei Orçamentária Anual para o alcance dos objetivos e das metas do Plano Plurianual – PPA;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 ampliar a capacidade do Município de garantir o provimento de bens e serviços à população;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 elaboração, fiscalização e controle da lei orçamentária anual para o exercício de 2019, bem como a aprovação e execução do orçamento fiscal e da seguridade social do Município, além de serem orientados para viabilizar o alcance dos objetivos declarados no PPA, devem: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 – priorizar o equilíbrio entre receitas e despesas;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 evidenciar a transparência da gestão fiscal, observando-se o princípio da publicidade e permitindo amplo acesso da sociedade aos dados do orçamento, inclusive por meio eletrônico;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atingir as metas relativas a receitas, despesas, resultados primário e nominal e montante da dívida pública estabelecidos no Anexo I – Metas Fiscais desta Lei.</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 w:name="_Toc515609475"/>
      <w:r w:rsidRPr="007629B2">
        <w:rPr>
          <w:rFonts w:ascii="Arial" w:hAnsi="Arial" w:cs="Arial"/>
          <w:b/>
        </w:rPr>
        <w:t>Capítulo II - Das Metas e Riscos Fiscais</w:t>
      </w:r>
      <w:bookmarkEnd w:id="1"/>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w:t>
      </w:r>
      <w:r w:rsidRPr="007629B2">
        <w:rPr>
          <w:rFonts w:ascii="Arial" w:hAnsi="Arial" w:cs="Arial"/>
          <w:color w:val="000000"/>
          <w:u w:val="single"/>
          <w:vertAlign w:val="superscript"/>
        </w:rPr>
        <w:t>o</w:t>
      </w:r>
      <w:r w:rsidRPr="007629B2">
        <w:rPr>
          <w:rFonts w:ascii="Arial" w:hAnsi="Arial" w:cs="Arial"/>
        </w:rPr>
        <w:t xml:space="preserve"> As metas fiscais de receitas, despesas, resultado primário, nominal e montante da dívida pública para os exercícios de 2019, 2020 e 2021, de que trata o art. 4</w:t>
      </w:r>
      <w:r w:rsidRPr="007629B2">
        <w:rPr>
          <w:rFonts w:ascii="Arial" w:hAnsi="Arial" w:cs="Arial"/>
          <w:color w:val="000000"/>
          <w:u w:val="single"/>
          <w:vertAlign w:val="superscript"/>
        </w:rPr>
        <w:t>o</w:t>
      </w:r>
      <w:r w:rsidRPr="007629B2">
        <w:rPr>
          <w:rFonts w:ascii="Arial" w:hAnsi="Arial" w:cs="Arial"/>
        </w:rPr>
        <w:t xml:space="preserve"> da Lei Complementar n° 101/2000, são as identificadas no </w:t>
      </w:r>
      <w:r w:rsidRPr="007629B2">
        <w:rPr>
          <w:rFonts w:ascii="Arial" w:hAnsi="Arial" w:cs="Arial"/>
          <w:b/>
        </w:rPr>
        <w:t xml:space="preserve">ANEXO I, </w:t>
      </w:r>
      <w:r w:rsidRPr="007629B2">
        <w:rPr>
          <w:rFonts w:ascii="Arial" w:hAnsi="Arial" w:cs="Arial"/>
        </w:rPr>
        <w:t>composto dos seguintes demonstrativos: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das metas fiscais anuais de acordo com o art. 4</w:t>
      </w:r>
      <w:r w:rsidRPr="007629B2">
        <w:rPr>
          <w:rFonts w:ascii="Arial" w:hAnsi="Arial" w:cs="Arial"/>
          <w:color w:val="000000"/>
          <w:u w:val="single"/>
          <w:vertAlign w:val="superscript"/>
        </w:rPr>
        <w:t>o</w:t>
      </w:r>
      <w:r w:rsidRPr="007629B2">
        <w:rPr>
          <w:rFonts w:ascii="Arial" w:hAnsi="Arial" w:cs="Arial"/>
        </w:rPr>
        <w:t>, § 1</w:t>
      </w:r>
      <w:r w:rsidRPr="007629B2">
        <w:rPr>
          <w:rFonts w:ascii="Arial" w:hAnsi="Arial" w:cs="Arial"/>
          <w:color w:val="000000"/>
          <w:u w:val="single"/>
          <w:vertAlign w:val="superscript"/>
        </w:rPr>
        <w:t>o</w:t>
      </w:r>
      <w:r w:rsidRPr="007629B2">
        <w:rPr>
          <w:rFonts w:ascii="Arial" w:hAnsi="Arial" w:cs="Arial"/>
        </w:rPr>
        <w:t>, da LC nº 101/2000, acompanhado da memória e metodologia de cálculo;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da avaliação do cumprimento das metas fiscais relativas ao ano de 2017;</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das metas fiscais previstas para 2019, 2020 e 2021, comparadas com as fixadas nos exercícios de 2016, 2017 e 2018;</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IV - da evolução do patrimônio líquido, conforme o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III,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da origem e aplicação dos recursos obtidos com a alienação de ativos, em cumprimento ao disposto no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III,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da avaliação da situação financeira e atuarial do Regime Próprio de Previdência dos Servidores Públicos Municipais, de acordo com o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IV, da Lei Complementar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da estimativa e compensação da renúncia de receita, conforme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V,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da margem de expansão das despesas obrigatórias de caráter continuado, conforme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V, da Lei Complementar nº 101/2000.</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1</w:t>
      </w:r>
      <w:r w:rsidRPr="007629B2">
        <w:rPr>
          <w:rFonts w:ascii="Arial" w:hAnsi="Arial" w:cs="Arial"/>
          <w:u w:val="single"/>
          <w:vertAlign w:val="superscript"/>
        </w:rPr>
        <w:t>o</w:t>
      </w:r>
      <w:r w:rsidRPr="007629B2">
        <w:rPr>
          <w:rFonts w:ascii="Arial" w:hAnsi="Arial" w:cs="Arial"/>
          <w:snapToGrid w:val="0"/>
        </w:rPr>
        <w:t xml:space="preserve">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2º Na hipótese prevista pelo § 1º, o demonstrativo de que trata o inciso I do Caput deverá ser</w:t>
      </w:r>
      <w:proofErr w:type="gramStart"/>
      <w:r w:rsidRPr="007629B2">
        <w:rPr>
          <w:rFonts w:ascii="Arial" w:hAnsi="Arial" w:cs="Arial"/>
          <w:snapToGrid w:val="0"/>
        </w:rPr>
        <w:t xml:space="preserve">  </w:t>
      </w:r>
      <w:proofErr w:type="gramEnd"/>
      <w:r w:rsidRPr="007629B2">
        <w:rPr>
          <w:rFonts w:ascii="Arial" w:hAnsi="Arial" w:cs="Arial"/>
          <w:snapToGrid w:val="0"/>
        </w:rPr>
        <w:t xml:space="preserve">elaborado e encaminhado juntamente com o projeto de lei orçamentária anual, acompanhado da memória e metodologia de cálculo devidamente atualizadas. </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t>§ 3</w:t>
      </w:r>
      <w:r w:rsidRPr="007629B2">
        <w:rPr>
          <w:rFonts w:ascii="Arial" w:hAnsi="Arial" w:cs="Arial"/>
          <w:u w:val="single"/>
          <w:vertAlign w:val="superscript"/>
        </w:rPr>
        <w:t>o</w:t>
      </w:r>
      <w:r w:rsidRPr="007629B2">
        <w:rPr>
          <w:rFonts w:ascii="Arial" w:hAnsi="Arial" w:cs="Arial"/>
          <w:snapToGrid w:val="0"/>
        </w:rPr>
        <w:t xml:space="preserve"> Durante o exercício de 2019, a meta resultado primário prevista no demonstrativo referido no inciso I do caput, poderá ser reduzida até o montante que corresponder à frustração da arrecadação das receitas </w:t>
      </w:r>
      <w:r w:rsidRPr="007629B2">
        <w:rPr>
          <w:rFonts w:ascii="Arial" w:hAnsi="Arial" w:cs="Arial"/>
        </w:rPr>
        <w:t xml:space="preserve">que são objeto de transferência constitucional, com base nos </w:t>
      </w:r>
      <w:proofErr w:type="spellStart"/>
      <w:r w:rsidRPr="007629B2">
        <w:rPr>
          <w:rFonts w:ascii="Arial" w:hAnsi="Arial" w:cs="Arial"/>
        </w:rPr>
        <w:t>arts</w:t>
      </w:r>
      <w:proofErr w:type="spellEnd"/>
      <w:r w:rsidRPr="007629B2">
        <w:rPr>
          <w:rFonts w:ascii="Arial" w:hAnsi="Arial" w:cs="Arial"/>
        </w:rPr>
        <w:t>. 158 e 159 da Constituição Federal.</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t>§ 4</w:t>
      </w:r>
      <w:r w:rsidRPr="007629B2">
        <w:rPr>
          <w:rFonts w:ascii="Arial" w:hAnsi="Arial" w:cs="Arial"/>
          <w:u w:val="single"/>
          <w:vertAlign w:val="superscript"/>
        </w:rPr>
        <w:t>o</w:t>
      </w:r>
      <w:r w:rsidRPr="007629B2">
        <w:rPr>
          <w:rFonts w:ascii="Arial" w:hAnsi="Arial" w:cs="Arial"/>
          <w:snapToGrid w:val="0"/>
        </w:rPr>
        <w:t xml:space="preserve"> Para os fins do disposto no § 3º, considera-se frustração de arrecadação, a diferença a menor que for observada entre os valores que forem arrecadados em cada mês, em comparação com igual mês do ano anterior.</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5</w:t>
      </w:r>
      <w:r w:rsidRPr="007629B2">
        <w:rPr>
          <w:rFonts w:ascii="Arial" w:hAnsi="Arial" w:cs="Arial"/>
          <w:u w:val="single"/>
          <w:vertAlign w:val="superscript"/>
        </w:rPr>
        <w:t>o</w:t>
      </w:r>
      <w:r w:rsidRPr="007629B2">
        <w:rPr>
          <w:rFonts w:ascii="Arial" w:hAnsi="Arial" w:cs="Arial"/>
          <w:snapToGrid w:val="0"/>
        </w:rPr>
        <w:t xml:space="preserve"> Nas hipóteses de revisão dos valores das metas fiscais de que trata este artigo, e para efeitos de avaliação na audiência pública prevista no art. </w:t>
      </w:r>
      <w:r w:rsidRPr="007629B2">
        <w:rPr>
          <w:rFonts w:ascii="Arial" w:hAnsi="Arial" w:cs="Arial"/>
          <w:snapToGrid w:val="0"/>
        </w:rPr>
        <w:lastRenderedPageBreak/>
        <w:t>9</w:t>
      </w:r>
      <w:r w:rsidRPr="007629B2">
        <w:rPr>
          <w:rFonts w:ascii="Arial" w:hAnsi="Arial" w:cs="Arial"/>
          <w:u w:val="single"/>
          <w:vertAlign w:val="superscript"/>
        </w:rPr>
        <w:t>o</w:t>
      </w:r>
      <w:r w:rsidRPr="007629B2">
        <w:rPr>
          <w:rFonts w:ascii="Arial" w:hAnsi="Arial" w:cs="Arial"/>
          <w:snapToGrid w:val="0"/>
        </w:rPr>
        <w:t>, § 4</w:t>
      </w:r>
      <w:r w:rsidRPr="007629B2">
        <w:rPr>
          <w:rFonts w:ascii="Arial" w:hAnsi="Arial" w:cs="Arial"/>
          <w:u w:val="single"/>
          <w:vertAlign w:val="superscript"/>
        </w:rPr>
        <w:t>o</w:t>
      </w:r>
      <w:r w:rsidRPr="007629B2">
        <w:rPr>
          <w:rFonts w:ascii="Arial" w:hAnsi="Arial" w:cs="Arial"/>
          <w:snapToGrid w:val="0"/>
        </w:rPr>
        <w:t xml:space="preserve">, da LC nº 101/2000, as receitas e despesas realizadas serão </w:t>
      </w:r>
      <w:proofErr w:type="gramStart"/>
      <w:r w:rsidRPr="007629B2">
        <w:rPr>
          <w:rFonts w:ascii="Arial" w:hAnsi="Arial" w:cs="Arial"/>
          <w:snapToGrid w:val="0"/>
        </w:rPr>
        <w:t>comparadas com as metas ajustadas</w:t>
      </w:r>
      <w:proofErr w:type="gramEnd"/>
      <w:r w:rsidRPr="007629B2">
        <w:rPr>
          <w:rFonts w:ascii="Arial" w:hAnsi="Arial" w:cs="Arial"/>
          <w:snapToGrid w:val="0"/>
        </w:rPr>
        <w:t>.</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3</w:t>
      </w:r>
      <w:r w:rsidRPr="007629B2">
        <w:rPr>
          <w:rFonts w:ascii="Arial" w:hAnsi="Arial" w:cs="Arial"/>
          <w:color w:val="000000"/>
        </w:rPr>
        <w:t xml:space="preserve">º </w:t>
      </w:r>
      <w:r w:rsidRPr="007629B2">
        <w:rPr>
          <w:rFonts w:ascii="Arial" w:hAnsi="Arial" w:cs="Arial"/>
          <w:snapToGrid w:val="0"/>
        </w:rPr>
        <w:t xml:space="preserve">Estão discriminados, no </w:t>
      </w:r>
      <w:r w:rsidRPr="007629B2">
        <w:rPr>
          <w:rFonts w:ascii="Arial" w:hAnsi="Arial" w:cs="Arial"/>
          <w:b/>
          <w:snapToGrid w:val="0"/>
        </w:rPr>
        <w:t>Anexo II</w:t>
      </w:r>
      <w:r w:rsidRPr="007629B2">
        <w:rPr>
          <w:rFonts w:ascii="Arial" w:hAnsi="Arial" w:cs="Arial"/>
          <w:snapToGrid w:val="0"/>
        </w:rPr>
        <w:t>, que integra esta Lei, os Riscos Fiscais, onde são avaliados os riscos orçamentários e os passivos contingentes capazes de afetar as contas públicas, em cumprimento ao art. 4</w:t>
      </w:r>
      <w:r w:rsidRPr="007629B2">
        <w:rPr>
          <w:rFonts w:ascii="Arial" w:hAnsi="Arial" w:cs="Arial"/>
          <w:color w:val="000000"/>
          <w:u w:val="single"/>
          <w:vertAlign w:val="superscript"/>
        </w:rPr>
        <w:t>o</w:t>
      </w:r>
      <w:r w:rsidRPr="007629B2">
        <w:rPr>
          <w:rFonts w:ascii="Arial" w:hAnsi="Arial" w:cs="Arial"/>
          <w:snapToGrid w:val="0"/>
        </w:rPr>
        <w:t>, § 3</w:t>
      </w:r>
      <w:r w:rsidRPr="007629B2">
        <w:rPr>
          <w:rFonts w:ascii="Arial" w:hAnsi="Arial" w:cs="Arial"/>
          <w:color w:val="000000"/>
          <w:u w:val="single"/>
          <w:vertAlign w:val="superscript"/>
        </w:rPr>
        <w:t>o</w:t>
      </w:r>
      <w:r w:rsidRPr="007629B2">
        <w:rPr>
          <w:rFonts w:ascii="Arial" w:hAnsi="Arial" w:cs="Arial"/>
          <w:snapToGrid w:val="0"/>
        </w:rPr>
        <w:t>,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Consideram-se passivos contingentes e outros riscos fiscais possíveis obrigações a serem </w:t>
      </w:r>
      <w:proofErr w:type="gramStart"/>
      <w:r w:rsidRPr="007629B2">
        <w:rPr>
          <w:rFonts w:ascii="Arial" w:hAnsi="Arial" w:cs="Arial"/>
        </w:rPr>
        <w:t>cumpridas</w:t>
      </w:r>
      <w:proofErr w:type="gramEnd"/>
      <w:r w:rsidRPr="007629B2">
        <w:rPr>
          <w:rFonts w:ascii="Arial" w:hAnsi="Arial" w:cs="Arial"/>
        </w:rPr>
        <w:t xml:space="preserve"> em 2019, cuja existência será confirmada somente pela ocorrência ou não de um ou mais eventos futuros que não estejam totalmente sob controle do Município.</w:t>
      </w:r>
    </w:p>
    <w:p w:rsidR="007629B2" w:rsidRPr="007629B2" w:rsidRDefault="007629B2" w:rsidP="00CF4D2A">
      <w:pPr>
        <w:spacing w:line="360" w:lineRule="auto"/>
        <w:ind w:firstLine="2268"/>
        <w:jc w:val="both"/>
        <w:rPr>
          <w:rFonts w:ascii="Arial" w:hAnsi="Arial" w:cs="Arial"/>
          <w:color w:val="FF0000"/>
        </w:rPr>
      </w:pPr>
      <w:r w:rsidRPr="007629B2">
        <w:rPr>
          <w:rFonts w:ascii="Arial" w:hAnsi="Arial" w:cs="Arial"/>
        </w:rPr>
        <w:t>§ 2º Também são passivos contingentes, obrigações decorrentes de eventos passados, cuja liquidação em 2019 seja improvável ou cujo valor não possa ser tecnicamente estimado.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w:t>
      </w:r>
      <w:r w:rsidRPr="007629B2">
        <w:rPr>
          <w:rFonts w:ascii="Arial" w:hAnsi="Arial" w:cs="Arial"/>
          <w:color w:val="000000"/>
        </w:rPr>
        <w:t xml:space="preserve">º </w:t>
      </w:r>
      <w:r w:rsidRPr="007629B2">
        <w:rPr>
          <w:rFonts w:ascii="Arial" w:hAnsi="Arial" w:cs="Arial"/>
        </w:rPr>
        <w:t xml:space="preserve">Caso se </w:t>
      </w:r>
      <w:proofErr w:type="gramStart"/>
      <w:r w:rsidRPr="007629B2">
        <w:rPr>
          <w:rFonts w:ascii="Arial" w:hAnsi="Arial" w:cs="Arial"/>
        </w:rPr>
        <w:t>concretizem</w:t>
      </w:r>
      <w:proofErr w:type="gramEnd"/>
      <w:r w:rsidRPr="007629B2">
        <w:rPr>
          <w:rFonts w:ascii="Arial" w:hAnsi="Arial" w:cs="Arial"/>
        </w:rPr>
        <w:t>, os riscos fiscais serão atendidos com recursos da Reserva de Contingência e, sendo esta insuficiente, serão indicados, também, o excesso de arrecadação e o superávit financeiro do exercício anterior, se houver, obedecida a fonte de recursos correspondente.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w:t>
      </w:r>
      <w:r w:rsidRPr="007629B2">
        <w:rPr>
          <w:rFonts w:ascii="Arial" w:hAnsi="Arial" w:cs="Arial"/>
          <w:color w:val="000000"/>
        </w:rPr>
        <w:t xml:space="preserve">º </w:t>
      </w:r>
      <w:r w:rsidRPr="007629B2">
        <w:rPr>
          <w:rFonts w:ascii="Arial" w:hAnsi="Arial" w:cs="Arial"/>
        </w:rPr>
        <w:t>Sendo esses recursos insuficientes, o Poder Executivo poderá reduzir as dotações destinadas para investimentos, desde que não comprometidas.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2" w:name="_Toc515609476"/>
      <w:r w:rsidRPr="007629B2">
        <w:rPr>
          <w:rFonts w:ascii="Arial" w:hAnsi="Arial" w:cs="Arial"/>
          <w:b/>
        </w:rPr>
        <w:t xml:space="preserve">Capítulo III - Das Metas e Prioridades da Administração </w:t>
      </w:r>
      <w:proofErr w:type="gramStart"/>
      <w:r w:rsidRPr="007629B2">
        <w:rPr>
          <w:rFonts w:ascii="Arial" w:hAnsi="Arial" w:cs="Arial"/>
          <w:b/>
        </w:rPr>
        <w:t>Pública Municipal Extraídas</w:t>
      </w:r>
      <w:proofErr w:type="gramEnd"/>
      <w:r w:rsidRPr="007629B2">
        <w:rPr>
          <w:rFonts w:ascii="Arial" w:hAnsi="Arial" w:cs="Arial"/>
          <w:b/>
        </w:rPr>
        <w:t xml:space="preserve"> do Plano Plurianual</w:t>
      </w:r>
      <w:bookmarkEnd w:id="2"/>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4</w:t>
      </w:r>
      <w:r w:rsidRPr="007629B2">
        <w:rPr>
          <w:rFonts w:ascii="Arial" w:hAnsi="Arial" w:cs="Arial"/>
          <w:color w:val="000000"/>
        </w:rPr>
        <w:t xml:space="preserve">º </w:t>
      </w:r>
      <w:r w:rsidRPr="007629B2">
        <w:rPr>
          <w:rFonts w:ascii="Arial" w:hAnsi="Arial" w:cs="Arial"/>
          <w:snapToGrid w:val="0"/>
        </w:rPr>
        <w:t>As metas e prioridades para o exercício financeiro de 2019 estão estruturadas de acordo com o Plano Plurianual para 2018/2021 - Lei n</w:t>
      </w:r>
      <w:r w:rsidRPr="007629B2">
        <w:rPr>
          <w:rFonts w:ascii="Arial" w:hAnsi="Arial" w:cs="Arial"/>
          <w:color w:val="000000"/>
          <w:u w:val="single"/>
          <w:vertAlign w:val="superscript"/>
        </w:rPr>
        <w:t>o</w:t>
      </w:r>
      <w:r w:rsidRPr="007629B2">
        <w:rPr>
          <w:rFonts w:ascii="Arial" w:hAnsi="Arial" w:cs="Arial"/>
          <w:snapToGrid w:val="0"/>
        </w:rPr>
        <w:t xml:space="preserve"> 1075/17 de 14 de Julho de 2017 e suas alterações, especificadas no </w:t>
      </w:r>
      <w:r w:rsidRPr="007629B2">
        <w:rPr>
          <w:rFonts w:ascii="Arial" w:hAnsi="Arial" w:cs="Arial"/>
          <w:b/>
          <w:snapToGrid w:val="0"/>
        </w:rPr>
        <w:t>Anexo III</w:t>
      </w:r>
      <w:r w:rsidRPr="007629B2">
        <w:rPr>
          <w:rFonts w:ascii="Arial" w:hAnsi="Arial" w:cs="Arial"/>
          <w:snapToGrid w:val="0"/>
        </w:rPr>
        <w:t>, integrante desta Lei, as quais terão precedência na alocação de recursos na Lei Orçamentária.</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rPr>
        <w:lastRenderedPageBreak/>
        <w:t>§ 1</w:t>
      </w:r>
      <w:r w:rsidRPr="007629B2">
        <w:rPr>
          <w:rFonts w:ascii="Arial" w:hAnsi="Arial" w:cs="Arial"/>
          <w:color w:val="000000"/>
        </w:rPr>
        <w:t xml:space="preserve">º </w:t>
      </w:r>
      <w:r w:rsidRPr="007629B2">
        <w:rPr>
          <w:rFonts w:ascii="Arial" w:hAnsi="Arial" w:cs="Arial"/>
        </w:rPr>
        <w:t>Os valores constantes no Anexo de que trata este artigo possuem caráter indicativo e não normativo, devendo servir de referência para o planejamento, podendo ser atualizados pela lei orçamentária ou através de créditos adicionais.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w:t>
      </w:r>
      <w:r w:rsidRPr="007629B2">
        <w:rPr>
          <w:rFonts w:ascii="Arial" w:hAnsi="Arial" w:cs="Arial"/>
          <w:color w:val="000000"/>
        </w:rPr>
        <w:t xml:space="preserve">º </w:t>
      </w:r>
      <w:r w:rsidRPr="007629B2">
        <w:rPr>
          <w:rFonts w:ascii="Arial" w:hAnsi="Arial" w:cs="Arial"/>
        </w:rPr>
        <w:t xml:space="preserve">As metas e prioridades de que trata o </w:t>
      </w:r>
      <w:r w:rsidRPr="007629B2">
        <w:rPr>
          <w:rFonts w:ascii="Arial" w:hAnsi="Arial" w:cs="Arial"/>
          <w:i/>
        </w:rPr>
        <w:t xml:space="preserve">caput </w:t>
      </w:r>
      <w:r w:rsidRPr="007629B2">
        <w:rPr>
          <w:rFonts w:ascii="Arial" w:hAnsi="Arial" w:cs="Arial"/>
        </w:rPr>
        <w:t>deste artigo, bem como as respectivas ações planejadas para o seu atingimento, poderão ser alteradas, se durante o período decorrido entre a apresentação desta Lei e a elaboração da proposta orçamentária para 2019 surgirem novas demandas ou situações em que haja necessidade da intervenção do Poder Público, ou em decorrência de créditos adicionais ocorridos.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w:t>
      </w:r>
      <w:r w:rsidRPr="007629B2">
        <w:rPr>
          <w:rFonts w:ascii="Arial" w:hAnsi="Arial" w:cs="Arial"/>
          <w:color w:val="000000"/>
        </w:rPr>
        <w:t xml:space="preserve">º </w:t>
      </w:r>
      <w:r w:rsidRPr="007629B2">
        <w:rPr>
          <w:rFonts w:ascii="Arial" w:hAnsi="Arial" w:cs="Arial"/>
        </w:rPr>
        <w:t>Na hipótese prevista no §2</w:t>
      </w:r>
      <w:r w:rsidRPr="007629B2">
        <w:rPr>
          <w:rFonts w:ascii="Arial" w:hAnsi="Arial" w:cs="Arial"/>
          <w:color w:val="000000"/>
          <w:u w:val="single"/>
          <w:vertAlign w:val="superscript"/>
        </w:rPr>
        <w:t>o</w:t>
      </w:r>
      <w:r w:rsidRPr="007629B2">
        <w:rPr>
          <w:rFonts w:ascii="Arial" w:hAnsi="Arial" w:cs="Arial"/>
        </w:rPr>
        <w:t>, as alterações do Anexo de Metas e Prioridades serão evidenciadas em demonstrativo específico, a ser encaminhado juntamente com a proposta orçamentária para o próximo exercício.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3" w:name="_Toc515609477"/>
      <w:r w:rsidRPr="007629B2">
        <w:rPr>
          <w:rFonts w:ascii="Arial" w:hAnsi="Arial" w:cs="Arial"/>
          <w:b/>
        </w:rPr>
        <w:t>Capítulo IV - Da Estrutura e Organização do Orçamento</w:t>
      </w:r>
      <w:bookmarkEnd w:id="3"/>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5º Para efeito desta Lei</w:t>
      </w:r>
      <w:proofErr w:type="gramStart"/>
      <w:r w:rsidRPr="007629B2">
        <w:rPr>
          <w:rFonts w:ascii="Arial" w:hAnsi="Arial" w:cs="Arial"/>
        </w:rPr>
        <w:t>, entende-se</w:t>
      </w:r>
      <w:proofErr w:type="gramEnd"/>
      <w:r w:rsidRPr="007629B2">
        <w:rPr>
          <w:rFonts w:ascii="Arial" w:hAnsi="Arial" w:cs="Arial"/>
        </w:rPr>
        <w:t xml:space="preserve"> por: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Programa: instrumento de organização da ação governamental visando à concretização dos objetivos pretendidos, mensurados por indicadores, conforme estabelecido no plano plurianual;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Atividade: instrumento de programação para alcançar o objetivo de um programa, envolvendo um conjunto de operações que se realizam de modo contínuo e permanente, das quais resulta um produto necessário à manutenção da ação de governo;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Projeto: instrumento de programação para alcançar o objetivo de um programa, envolvendo um conjunto de operações, limitadas no tempo, das quais resulta um produto que concorre para a expansão ou aperfeiçoamento da ação de governo;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IV - Operação Especial: despesas que não contribuem para a manutenção das ações de governo, das quais não resulta um produto, e não geram contraprestação direta sob a forma de bens ou serviços;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Órgão Orçamentário: o maior nível da classificação institucional, que tem por finalidade agrupar unidades orçamentárias.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Unidade Orçamentária: o menor nível da classificação institucional;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Cada atividade, projeto ou operação especial identificará a função e a </w:t>
      </w:r>
      <w:proofErr w:type="spellStart"/>
      <w:r w:rsidRPr="007629B2">
        <w:rPr>
          <w:rFonts w:ascii="Arial" w:hAnsi="Arial" w:cs="Arial"/>
        </w:rPr>
        <w:t>subfunção</w:t>
      </w:r>
      <w:proofErr w:type="spellEnd"/>
      <w:r w:rsidRPr="007629B2">
        <w:rPr>
          <w:rFonts w:ascii="Arial" w:hAnsi="Arial" w:cs="Arial"/>
        </w:rPr>
        <w:t xml:space="preserve"> às quais se </w:t>
      </w:r>
      <w:proofErr w:type="gramStart"/>
      <w:r w:rsidRPr="007629B2">
        <w:rPr>
          <w:rFonts w:ascii="Arial" w:hAnsi="Arial" w:cs="Arial"/>
        </w:rPr>
        <w:t>vinculam,</w:t>
      </w:r>
      <w:proofErr w:type="gramEnd"/>
      <w:r w:rsidRPr="007629B2">
        <w:rPr>
          <w:rFonts w:ascii="Arial" w:hAnsi="Arial" w:cs="Arial"/>
        </w:rPr>
        <w:t xml:space="preserve"> de acordo com a Portaria MOG nº 42/1999 e suas atualizações.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§3º A classificação das unidades orçamentárias atenderá, no que couber, ao disposto no art. 14 da Lei Federal nº 4.320/64.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§4º As operações especiais relacionadas ao pagamento de encargos gerais do Município, serão consignadas em unidade orçamentária específica.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w:t>
      </w:r>
      <w:proofErr w:type="gramStart"/>
      <w:r w:rsidRPr="007629B2">
        <w:rPr>
          <w:rFonts w:ascii="Arial" w:hAnsi="Arial" w:cs="Arial"/>
        </w:rPr>
        <w:t>Orçamentos Fiscal</w:t>
      </w:r>
      <w:proofErr w:type="gramEnd"/>
      <w:r w:rsidRPr="007629B2">
        <w:rPr>
          <w:rFonts w:ascii="Arial" w:hAnsi="Arial" w:cs="Arial"/>
        </w:rPr>
        <w:t xml:space="preserve"> e da Seguridade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Parágrafo único. As operações entre órgãos, fundos e entidades previstas nos </w:t>
      </w:r>
      <w:proofErr w:type="gramStart"/>
      <w:r w:rsidRPr="007629B2">
        <w:rPr>
          <w:rFonts w:ascii="Arial" w:hAnsi="Arial" w:cs="Arial"/>
        </w:rPr>
        <w:t>Orçamentos Fiscal</w:t>
      </w:r>
      <w:proofErr w:type="gramEnd"/>
      <w:r w:rsidRPr="007629B2">
        <w:rPr>
          <w:rFonts w:ascii="Arial" w:hAnsi="Arial" w:cs="Arial"/>
        </w:rPr>
        <w:t xml:space="preserve">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xml:space="preserve">Art. 7º Os orçamentos fiscal e da seguridade social discriminarão a despesa por elementos de despesa, na forma do art. 15, § 1º, da Lei Federal nº 4.320/64.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8º O Projeto de Lei Orçamentária Anual será encaminhado ao Poder Legislativo, conforme estabelecido no § 5º do art. 165 da Constituição Federal, na Lei Orgânica do Município e no art. 2º, da Lei Federal nº 4.320/64, e será composto 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texto da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consolidação dos quadros orçamentários;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Integrarão a consolidação dos quadros orçamentários a que se refere o inciso II, incluindo os complementos referenciados no art. 22, inciso III, da Lei Federal nº 4.320/64, os seguintes quadros: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discriminação da legislação básica da receita e da despesa dos orçamentos fiscal e da seguridade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demonstrativo da evolução da receita, por origem de arrecadação, em atendimento ao disposto no art. 12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demonstrativo da estimativa e compensação da renúncia de receita e da margem de expansão das despesas obrigatórias de caráter continuado, de acordo com o art. 5º, inciso II,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demonstrativo das receitas por origem e das despesas por grupo de natureza de despesa dos orçamentos fiscal e da seguridade social, conforme art. 165, § 5º, III, da Constituição Federal;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demonstrativo da receita e planos de aplicação dos Fundos Especiais de que trata o art. 2º, § 2º, I,</w:t>
      </w:r>
      <w:proofErr w:type="gramStart"/>
      <w:r w:rsidRPr="007629B2">
        <w:rPr>
          <w:rFonts w:ascii="Arial" w:hAnsi="Arial" w:cs="Arial"/>
        </w:rPr>
        <w:t xml:space="preserve">  </w:t>
      </w:r>
      <w:proofErr w:type="gramEnd"/>
      <w:r w:rsidRPr="007629B2">
        <w:rPr>
          <w:rFonts w:ascii="Arial" w:hAnsi="Arial" w:cs="Arial"/>
        </w:rPr>
        <w:t>da Lei Federal nº 4.320/64;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demonstrativo de compatibilidade da programação do orçamento com as metas fiscais estabelecidas na Lei de Diretrizes Orçamentárias, de acordo com o art. 5º, inciso I,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demonstrativo da previsão das aplicações de recursos na Manutenção e Desenvolvimento do Ensino (MDE) e do Fundo de Manutenção e Desenvolvimento da Educação Básica e de Valorização dos Profissionais da Educação (FUNDEB);</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IX - demonstrativo da previsão da aplicação anual do Município em Ações e Serviços Públicos de Saúde (ASPS), conforme a Lei Complementar nº 141, de 13 de janeiro de 2012;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X - demonstrativo das categorias de programação a serem financiadas com recursos de operações de crédito realizadas e a realizar, com indicação da dotação e do orçamento a que pertencem;</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XI - demonstrativo do cálculo do limite máximo da despesa do Poder Legislativo, conforme o artigo 29-A da Constituição Federal, observado o disposto no § 2º do art. 13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9º A mensagem que encaminhar o projeto de lei orçamentária anual conterá:</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relato sucinto da situação econômica e financeira do Município e projeções para o exercício de 2019, com destaque, se for o caso, para o comprometimento da receita com o pagamento da dívida;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resumo da política econômica e social do Governo;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justificativa da estimativa e da fixação, respectivamente, da receita e da despesa e dos seus principais agregados, conforme dispõe o inciso I do art. 22 da Lei Federal nº 4.320, de 1964;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memória de cálculo da receita e premissas utilizadas;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V - demonstrativo da dívida fundada, assim como da evolução do estoque da dívida pública, dos últimos três anos, a situação provável no final de 2018 e a previsão para o exercício de 2019;</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relação dos precatórios a serem cumpridos em 2019 com as dotações para tal fim constantes na proposta orçamentária;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relação das ações prioritárias aprovadas nas audiências públicas realizadas na forma estabelecida pelo art. 11 desta Lei, com a identificação dos respectivos projetos, atividades ou operações especiais, bem como os valores correspondentes.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4" w:name="_Toc515609478"/>
      <w:r w:rsidRPr="007629B2">
        <w:rPr>
          <w:rFonts w:ascii="Arial" w:hAnsi="Arial" w:cs="Arial"/>
          <w:b/>
        </w:rPr>
        <w:t>Capítulo V - Das Diretrizes para Elaboração e Execução do Orçamento e suas Alterações</w:t>
      </w:r>
      <w:bookmarkEnd w:id="4"/>
    </w:p>
    <w:p w:rsidR="007629B2" w:rsidRPr="007629B2" w:rsidRDefault="007629B2" w:rsidP="00CF4D2A">
      <w:pPr>
        <w:spacing w:line="360" w:lineRule="auto"/>
        <w:ind w:firstLine="2268"/>
        <w:jc w:val="both"/>
        <w:rPr>
          <w:rFonts w:ascii="Arial" w:hAnsi="Arial" w:cs="Arial"/>
          <w:b/>
        </w:rPr>
      </w:pPr>
      <w:bookmarkStart w:id="5" w:name="_Toc515609479"/>
      <w:r w:rsidRPr="007629B2">
        <w:rPr>
          <w:rFonts w:ascii="Arial" w:hAnsi="Arial" w:cs="Arial"/>
          <w:b/>
        </w:rPr>
        <w:t>Seção I - Das Diretrizes Gerais</w:t>
      </w:r>
      <w:bookmarkEnd w:id="5"/>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b/>
        <w:t xml:space="preserve">Art. 10. </w:t>
      </w:r>
      <w:proofErr w:type="gramStart"/>
      <w:r w:rsidRPr="007629B2">
        <w:rPr>
          <w:rFonts w:ascii="Arial" w:hAnsi="Arial" w:cs="Arial"/>
        </w:rPr>
        <w:t>Os orçamentos fiscal</w:t>
      </w:r>
      <w:proofErr w:type="gramEnd"/>
      <w:r w:rsidRPr="007629B2">
        <w:rPr>
          <w:rFonts w:ascii="Arial" w:hAnsi="Arial" w:cs="Arial"/>
        </w:rPr>
        <w:t xml:space="preserve"> e da seguridade social compreenderão o conjunto das receitas públicas, bem como das despesas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 e que dele </w:t>
      </w:r>
      <w:r w:rsidRPr="007629B2">
        <w:rPr>
          <w:rFonts w:ascii="Arial" w:hAnsi="Arial" w:cs="Arial"/>
          <w:lang w:val="pt-PT" w:eastAsia="pt-BR"/>
        </w:rPr>
        <w:t xml:space="preserve">recebam recursos.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Parágrafo único. Os órgãos da Administração Indireta e o Poder Legislativo encaminharão ao poder executivo até 15 de Setembro de 2018, suas respectivas propostas orçamentárias, para fins de consolidação do Projeto de Lei Orçamentária de 2019, observadas as disposições desta Lei.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11. A elaboração e a aprovação do Orçamento para o exercício de 2019 e a sua execução obedecerão, entre outros, ao princípio da publicidade, promovendo-se a transparência da gestão fiscal e permitindo-se o amplo acesso da sociedade a todas as informações relativas a cada uma dessas etapas.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1º Para fins de atendimento ao disposto no art. 48, § 1º, I,</w:t>
      </w:r>
      <w:proofErr w:type="gramStart"/>
      <w:r w:rsidRPr="007629B2">
        <w:rPr>
          <w:rFonts w:ascii="Arial" w:hAnsi="Arial" w:cs="Arial"/>
        </w:rPr>
        <w:t xml:space="preserve">  </w:t>
      </w:r>
      <w:proofErr w:type="gramEnd"/>
      <w:r w:rsidRPr="007629B2">
        <w:rPr>
          <w:rFonts w:ascii="Arial" w:hAnsi="Arial" w:cs="Arial"/>
        </w:rPr>
        <w:t>da LC nº 101/2000, o Poder Executivo organizará audiência pública a fim de assegurar aos cidadãos a participação na seleção das prioridades de investimentos, que terão recursos consignados no orçamento.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A Câmara Municipal organizará audiência(s) pública(s) para discussão da proposta orçamentária durante o processo de sua apreciação e aprovação.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Parágrafo único. A administração dos Fundos Municipais será efetivada pelo Chefe do Poder Executivo, podendo, por </w:t>
      </w:r>
      <w:proofErr w:type="gramStart"/>
      <w:r w:rsidRPr="007629B2">
        <w:rPr>
          <w:rFonts w:ascii="Arial" w:hAnsi="Arial" w:cs="Arial"/>
        </w:rPr>
        <w:t>ato formal deste, e observada</w:t>
      </w:r>
      <w:proofErr w:type="gramEnd"/>
      <w:r w:rsidRPr="007629B2">
        <w:rPr>
          <w:rFonts w:ascii="Arial" w:hAnsi="Arial" w:cs="Arial"/>
        </w:rPr>
        <w:t xml:space="preserve"> a respectiva legislação pertinente, ser delegada a Secretários, servidores municipais ou comissão de servidores.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2019.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Até 30 dias antes do encaminhamento da Proposta Orçamentária ao Poder Legislativo, o Poder Executivo Municipal colocará à disposição da Câmara Municipal os estudos e as estimativas de receitas para o exercício de 2019, inclusive da receita corrente líquida, e as respectivas memórias de cálculo.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Para fins do limite das despesas do Poder Legislativo, nos termos do art. 29-A da Constituição Federal e da metodologia de cálculo estabelecida pela Instrução Normativa nº 12/2017 do Tribunal de Contas do Estado, considerar-se-á a receita arrecadada até o último mês anterior ao prazo para a entrega da proposta orçamentária, acrescida da tendência de arrecadação até o final do exercício.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Art.14. Constarão no projeto de lei orçamentária reservas de contingência, desdobradas para atender às seguintes finalidades: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atender passivos contingentes e outros riscos e eventos fiscais imprevistos relacionados no Anexo de que trata o art. 3º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cobertura de créditos adicionais;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atender ao disposto no art. 58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A reserva de contingência, de que trata o inciso I do </w:t>
      </w:r>
      <w:r w:rsidRPr="007629B2">
        <w:rPr>
          <w:rFonts w:ascii="Arial" w:hAnsi="Arial" w:cs="Arial"/>
          <w:i/>
        </w:rPr>
        <w:t>caput</w:t>
      </w:r>
      <w:r w:rsidRPr="007629B2">
        <w:rPr>
          <w:rFonts w:ascii="Arial" w:hAnsi="Arial" w:cs="Arial"/>
        </w:rPr>
        <w:t>, será fixada em, no mínimo, 0,50 % da receita corrente líquida, e sua utilização dar-se-á mediante créditos adicionais abertos à sua conta.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A Reserva de Contingência da Unidade Gestora do Regime Próprio de Previdência Social, se houver, será constituída dos recursos que corresponderão à previsão de seu superávit orçamentário e somente poderá ser utilizada para a cobertura de créditos adicionais do próprio regime.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15. Observado o disposto no art. 45 da Lei Complementar nº 101, de 2000, somente serão incluídos novos projetos na Lei Orçamentária de 2018 se: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tiverem sido adequada e suficientemente contempladas as despesas para conservação do patrimônio público e para os projetos em andamento, constantes do Anexo IV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 ação estiver compatível com o Plano Plurianual.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Parágrafo único. O disposto neste artigo não se aplica às despesas programadas com recursos de transferências voluntárias e operações de crédito, cuja execução fica limitada à respectiva disponibilidade orçamentária e financeira.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Para efeito do disposto no art. 16, § 3º, da LC nº 101/2000, serão consideradas despesas irrelevantes aquelas decorrentes da criação, expansão ou aperfeiçoamento da ação governamental que acarrete aumento da despesa, cujo montante no exercício financeiro de 2019, em cada evento, não exceda aos valores limites para dispensa de licitação fixados nos incisos I e II do art. 24 da Lei nº 8.666/93, conforme o caso.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No caso de despesas com </w:t>
      </w:r>
      <w:proofErr w:type="gramStart"/>
      <w:r w:rsidRPr="007629B2">
        <w:rPr>
          <w:rFonts w:ascii="Arial" w:hAnsi="Arial" w:cs="Arial"/>
        </w:rPr>
        <w:t>pessoal e respectivos encargos</w:t>
      </w:r>
      <w:proofErr w:type="gramEnd"/>
      <w:r w:rsidRPr="007629B2">
        <w:rPr>
          <w:rFonts w:ascii="Arial" w:hAnsi="Arial" w:cs="Arial"/>
        </w:rPr>
        <w:t>, desde que não configurem geração de despesa obrigatória de caráter continuado, serão consideradas irrelevantes aquelas cujo montante, no exercício de 2019, em cada evento, não exceda a 20 vezes o menor padrão de vencimentos.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o limite das respectivas dotações constantes da Lei Orçamentária de 2019 e de créditos adicionais;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 os limites estabelecidos nos </w:t>
      </w:r>
      <w:proofErr w:type="spellStart"/>
      <w:r w:rsidRPr="007629B2">
        <w:rPr>
          <w:rFonts w:ascii="Arial" w:hAnsi="Arial" w:cs="Arial"/>
        </w:rPr>
        <w:t>arts</w:t>
      </w:r>
      <w:proofErr w:type="spellEnd"/>
      <w:r w:rsidRPr="007629B2">
        <w:rPr>
          <w:rFonts w:ascii="Arial" w:hAnsi="Arial" w:cs="Arial"/>
        </w:rPr>
        <w:t xml:space="preserve">. 20, inciso III, e 22, parágrafo único, da LC nº 101/2000, no caso da geração de despesas com </w:t>
      </w:r>
      <w:proofErr w:type="gramStart"/>
      <w:r w:rsidRPr="007629B2">
        <w:rPr>
          <w:rFonts w:ascii="Arial" w:hAnsi="Arial" w:cs="Arial"/>
        </w:rPr>
        <w:t>pessoal e respectivos encargos</w:t>
      </w:r>
      <w:proofErr w:type="gramEnd"/>
      <w:r w:rsidRPr="007629B2">
        <w:rPr>
          <w:rFonts w:ascii="Arial" w:hAnsi="Arial" w:cs="Arial"/>
        </w:rPr>
        <w:t>; 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o valor da margem líquida de expansão constante no demonstrativo de que trata o art. 2º, VIII, dessa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18.  O controle de custos das ações desenvolvidas pelo Poder Público Municipal de que trata o art. 50, § 3º, da LC nº 101/2000, </w:t>
      </w:r>
      <w:proofErr w:type="gramStart"/>
      <w:r w:rsidRPr="007629B2">
        <w:rPr>
          <w:rFonts w:ascii="Arial" w:hAnsi="Arial" w:cs="Arial"/>
        </w:rPr>
        <w:t>poderá,</w:t>
      </w:r>
      <w:proofErr w:type="gramEnd"/>
      <w:r w:rsidRPr="007629B2">
        <w:rPr>
          <w:rFonts w:ascii="Arial" w:hAnsi="Arial" w:cs="Arial"/>
        </w:rPr>
        <w:t xml:space="preserve"> evidenciar, em relatórios, os gastos das obras e dos serviços públicos, tais como: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 - dos programas finalísticos e respectivas ações previsto no Plano Plurianual;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do m² das construções e do m² das pavimentações;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do custo aluno/ano da educação infantil e do ensino fundamental, do custo aluno/ano do transporte escolar e do custo aluno/ano com merenda escolar;</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do custo da destinação final da tonelada de lixo;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V - do custo do atendimento nas unidades de saúde, entre outros.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O controle de custos de que trata o </w:t>
      </w:r>
      <w:r w:rsidRPr="007629B2">
        <w:rPr>
          <w:rFonts w:ascii="Arial" w:hAnsi="Arial" w:cs="Arial"/>
          <w:i/>
        </w:rPr>
        <w:t>caput</w:t>
      </w:r>
      <w:r w:rsidRPr="007629B2">
        <w:rPr>
          <w:rFonts w:ascii="Arial" w:hAnsi="Arial" w:cs="Arial"/>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Os custos serão apurados e avaliados através das operações orçamentárias, tomando-se por base, a comparação entre as despesas autorizadas e liquidadas, bem como a comparação entre as metas físicas previstas e as realizadas.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Compete ao Poder Legislativo Municipal, mediante prévio agendamento com o Poder Executivo, convocar e coordenar a realização das audiências públicas referidas no </w:t>
      </w:r>
      <w:r w:rsidRPr="007629B2">
        <w:rPr>
          <w:rFonts w:ascii="Arial" w:hAnsi="Arial" w:cs="Arial"/>
          <w:i/>
        </w:rPr>
        <w:t>caput</w:t>
      </w:r>
      <w:r w:rsidRPr="007629B2">
        <w:rPr>
          <w:rFonts w:ascii="Arial" w:hAnsi="Arial" w:cs="Arial"/>
        </w:rPr>
        <w:t>.</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6" w:name="_Toc515609480"/>
      <w:r w:rsidRPr="007629B2">
        <w:rPr>
          <w:rFonts w:ascii="Arial" w:hAnsi="Arial" w:cs="Arial"/>
          <w:b/>
        </w:rPr>
        <w:t>Seção II - Das Diretrizes Específicas do Orçamento da Seguridade Social</w:t>
      </w:r>
      <w:bookmarkEnd w:id="6"/>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20. O Orçamento da Seguridade Social compreenderá as dotações destinadas a atender às ações de saúde, previdência e assistência social, e contará, entre outros, com recursos provenientes: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do produto da arrecadação de impostos e transferências constitucionais vinculados às ações e serviços públicos de saúde, nos termos da Lei Complementar nº 141, de 13 de janeiro de 2012;</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w:t>
      </w:r>
      <w:proofErr w:type="gramStart"/>
      <w:r w:rsidRPr="007629B2">
        <w:rPr>
          <w:rFonts w:ascii="Arial" w:hAnsi="Arial" w:cs="Arial"/>
        </w:rPr>
        <w:t>–das</w:t>
      </w:r>
      <w:proofErr w:type="gramEnd"/>
      <w:r w:rsidRPr="007629B2">
        <w:rPr>
          <w:rFonts w:ascii="Arial" w:hAnsi="Arial" w:cs="Arial"/>
        </w:rPr>
        <w:t xml:space="preserve"> contribuições para o Regime Próprio de Previdência Social dos Servidores Municipais, que será utilizada para despesas com encargos previdenciários do Município;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III </w:t>
      </w:r>
      <w:proofErr w:type="gramStart"/>
      <w:r w:rsidRPr="007629B2">
        <w:rPr>
          <w:rFonts w:ascii="Arial" w:hAnsi="Arial" w:cs="Arial"/>
        </w:rPr>
        <w:t>–de</w:t>
      </w:r>
      <w:proofErr w:type="gramEnd"/>
      <w:r w:rsidRPr="007629B2">
        <w:rPr>
          <w:rFonts w:ascii="Arial" w:hAnsi="Arial" w:cs="Arial"/>
        </w:rPr>
        <w:t xml:space="preserve"> aportes financeiros de recursos do Orçamento Fiscal;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IV </w:t>
      </w:r>
      <w:proofErr w:type="gramStart"/>
      <w:r w:rsidRPr="007629B2">
        <w:rPr>
          <w:rFonts w:ascii="Arial" w:hAnsi="Arial" w:cs="Arial"/>
        </w:rPr>
        <w:t>–das</w:t>
      </w:r>
      <w:proofErr w:type="gramEnd"/>
      <w:r w:rsidRPr="007629B2">
        <w:rPr>
          <w:rFonts w:ascii="Arial" w:hAnsi="Arial" w:cs="Arial"/>
        </w:rPr>
        <w:t xml:space="preserve"> demais receitas cujas despesas integram, exclusivamente, o orçamento referido no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Parágrafo único. O orçamento da seguridade social será evidenciado na forma do demonstrativo previsto no art. 8º, § 1º, inciso IV, desta Lei.</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7" w:name="_Toc515609481"/>
      <w:r w:rsidRPr="007629B2">
        <w:rPr>
          <w:rFonts w:ascii="Arial" w:hAnsi="Arial" w:cs="Arial"/>
          <w:b/>
        </w:rPr>
        <w:t>Seção III - Das Disposições sobre a Programação e Execução Orçamentária e Financeira</w:t>
      </w:r>
      <w:bookmarkEnd w:id="7"/>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O ato referido no </w:t>
      </w:r>
      <w:r w:rsidRPr="007629B2">
        <w:rPr>
          <w:rFonts w:ascii="Arial" w:hAnsi="Arial" w:cs="Arial"/>
          <w:i/>
        </w:rPr>
        <w:t>caput</w:t>
      </w:r>
      <w:r w:rsidRPr="007629B2">
        <w:rPr>
          <w:rFonts w:ascii="Arial" w:hAnsi="Arial" w:cs="Arial"/>
        </w:rPr>
        <w:t xml:space="preserve"> deste artigo e os que o modificarem conterá:</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 - metas quadrimestrais para o resultado primário acima da linha, que servirão de parâmetro para a avaliação de que trata o art. 9º, § 4º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metas bimestrais de realização de receitas, em atendimento ao disposto no art. 13 da LC nº 101/2000, discriminadas, no mínimo, por origem, identificando-se separadamente, quando cabível, as medidas de combate à evasão e à sonegação fiscal e da cobrança da dívida ativa;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cronograma de desembolso mensal de despesas, por órgão e unidade orçamentária.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contrapartida para projetos ou atividades vinculados a recursos oriundos de fontes extraordinárias, como transferências voluntárias, operações de crédito, alienação de ativos, desde que ainda não comprometidos;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obras em geral, cuja fase ou etapa ainda não esteja iniciada;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aquisição de combustíveis e derivados, destinada à frota de veículos, exceto dos setores de educação e saúde;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IV - dotação para material de consumo e outros serviços de terceiros das diversas atividades;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V - diárias de viagem;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VI - festividades, homenagens, recepções e demais eventos da mesma natureza;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despesas com publicidade institucional;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horas extras.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Na avaliação do cumprimento das metas bimestrais de arrecadação para </w:t>
      </w:r>
      <w:proofErr w:type="gramStart"/>
      <w:r w:rsidRPr="007629B2">
        <w:rPr>
          <w:rFonts w:ascii="Arial" w:hAnsi="Arial" w:cs="Arial"/>
        </w:rPr>
        <w:t>implementação</w:t>
      </w:r>
      <w:proofErr w:type="gramEnd"/>
      <w:r w:rsidRPr="007629B2">
        <w:rPr>
          <w:rFonts w:ascii="Arial" w:hAnsi="Arial" w:cs="Arial"/>
        </w:rPr>
        <w:t xml:space="preserve"> ou não do mecanismo da limitação de empenho e movimentação financeira, será considerado ainda o resultado financeiro apurado no Balanço Patrimonial do exercício de 2018, observada a vinculação de recursos.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Não serão objeto de limitação de empenho: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despesas relacionadas com vinculações constitucionais e legais, nos termos do § 2º do art. 9º da LC nº 101/2000 e do art. 28 da Lei Complementar Federal n.º 141, de 13 de janeiro de 2012;</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as despesas com o pagamento de precatórios e sentenças judiciais de pequeno valor;</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III - as despesas fixas e obrigatórias com pessoal e encargos sociais; </w:t>
      </w:r>
      <w:proofErr w:type="gramStart"/>
      <w:r w:rsidRPr="007629B2">
        <w:rPr>
          <w:rFonts w:ascii="Arial" w:hAnsi="Arial" w:cs="Arial"/>
        </w:rPr>
        <w:t>e</w:t>
      </w:r>
      <w:proofErr w:type="gramEnd"/>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IV - as despesas financiadas com recursos de Transferências Voluntárias da União e do Estado, Operações de Crédito e Alienação de bens, observado o disposto no art. 24 desta Lei.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3º Na hipótese de ocorrência do disposto no </w:t>
      </w:r>
      <w:r w:rsidRPr="007629B2">
        <w:rPr>
          <w:rFonts w:ascii="Arial" w:hAnsi="Arial" w:cs="Arial"/>
          <w:i/>
        </w:rPr>
        <w:t>caput</w:t>
      </w:r>
      <w:r w:rsidRPr="007629B2">
        <w:rPr>
          <w:rFonts w:ascii="Arial" w:hAnsi="Arial" w:cs="Arial"/>
        </w:rPr>
        <w:t xml:space="preserve"> deste artigo, o Poder Executivo comunicará à Câmara Municipal o montante que lhe caberá tornar indisponível para empenho e movimentação financeira.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4º Os Chefes do Poder Executivo e do Poder Legislativo deverão divulgar, em ato próprio, os ajustes processados, que será discriminado, no mínimo, por unidade orçamentária.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5º Ocorrendo o restabelecimento da receita prevista, a recomposição se fará obedecendo ao disposto no art. 9º, § 1º,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6º Na ocorrência de calamidade pública, reconhecida na forma da lei, serão dispensadas a obtenção dos resultados fiscais programados e a limitação de empenho enquanto perdurar essa situação, nos termos do art. 65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23. O repasse financeiro da cota destinada ao atendimento das despesas do Poder Legislativo, obedecida à programação financeira, será repassado até o dia 20 de cada mês, mediante depósito em conta bancária específica, indicada pela Mesa Diretora da Câmara Municipal.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No caso da limitação de empenhos e movimentação financeira, observado o disposto no §3º do art. 22 desta Lei, o repasse financeiro de que trata o caput será reduzido na mesma proporção.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Os rendimentos das aplicações financeiras e outros ingressos orçamentários que venham a ser arrecadadas através do Poder Legislativo, serão contabilizados como receita pelo Poder Executivo, tendo como contrapartida o repasse referido no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Ao final do exercício financeiro de 2019,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4º O eventual saldo de recursos financeiros que não for devolvido no prazo estabelecido no parágrafo anterior, será devidamente registrado na contabilidade e considerado como antecipação de repasse do exercício financeiro de 2020.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No caso dos recursos de transferências voluntárias e de operações de crédito, considerar-se-á garantido o ingresso no fluxo de caixa, a partir </w:t>
      </w:r>
      <w:r w:rsidRPr="007629B2">
        <w:rPr>
          <w:rFonts w:ascii="Arial" w:hAnsi="Arial" w:cs="Arial"/>
        </w:rPr>
        <w:lastRenderedPageBreak/>
        <w:t>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 execução das Receitas e das Despesas identificará com codificação adequada cada uma das fontes de recursos, de forma a permitir o adequado controle da execução dos recursos mencionados no </w:t>
      </w:r>
      <w:r w:rsidRPr="007629B2">
        <w:rPr>
          <w:rFonts w:ascii="Arial" w:hAnsi="Arial" w:cs="Arial"/>
          <w:i/>
        </w:rPr>
        <w:t>caput</w:t>
      </w:r>
      <w:r w:rsidRPr="007629B2">
        <w:rPr>
          <w:rFonts w:ascii="Arial" w:hAnsi="Arial" w:cs="Arial"/>
        </w:rPr>
        <w:t xml:space="preserve"> deste artigo.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25. A despesa não deverá ser realizada se não houver comprovada e suficiente disponibilidade de dotação orçamentária para atendê-la.</w:t>
      </w:r>
    </w:p>
    <w:p w:rsidR="007629B2" w:rsidRPr="007629B2" w:rsidRDefault="007629B2" w:rsidP="00CF4D2A">
      <w:pPr>
        <w:spacing w:line="360" w:lineRule="auto"/>
        <w:ind w:firstLine="2268"/>
        <w:jc w:val="both"/>
        <w:rPr>
          <w:rFonts w:ascii="Arial" w:hAnsi="Arial" w:cs="Arial"/>
          <w:lang w:val="pt-PT" w:eastAsia="pt-PT"/>
        </w:rPr>
      </w:pPr>
      <w:r w:rsidRPr="007629B2">
        <w:rPr>
          <w:rFonts w:ascii="Arial" w:hAnsi="Arial" w:cs="Arial"/>
        </w:rPr>
        <w:t xml:space="preserve">§ 1º Enquanto não aprovada a Lei Orçamentária de 2019, os valores consignados no respectivo </w:t>
      </w:r>
      <w:r w:rsidRPr="007629B2">
        <w:rPr>
          <w:rFonts w:ascii="Arial" w:hAnsi="Arial" w:cs="Arial"/>
          <w:lang w:val="pt-PT" w:eastAsia="pt-PT"/>
        </w:rPr>
        <w:t>Projeto de Lei poderão ser utilizados para demonstrar, quando exigível,</w:t>
      </w:r>
      <w:proofErr w:type="gramStart"/>
      <w:r w:rsidRPr="007629B2">
        <w:rPr>
          <w:rFonts w:ascii="Arial" w:hAnsi="Arial" w:cs="Arial"/>
          <w:lang w:val="pt-PT" w:eastAsia="pt-PT"/>
        </w:rPr>
        <w:t xml:space="preserve">  </w:t>
      </w:r>
      <w:proofErr w:type="gramEnd"/>
      <w:r w:rsidRPr="007629B2">
        <w:rPr>
          <w:rFonts w:ascii="Arial" w:hAnsi="Arial" w:cs="Arial"/>
          <w:lang w:val="pt-PT" w:eastAsia="pt-PT"/>
        </w:rPr>
        <w:t xml:space="preserve">a previsão orçamentária nos procedimentos referentes à fase interna da licitação.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 contabilidade registrará todos os atos e os fatos relativos à gestão orçamentário-financeira, independentemente de sua legalidade, sem prejuízo das responsabilidades e demais consequências advindas da inobservância do disposto no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A realização de atos de gestão orçamentária, financeira e patrimonial, após 31 de dezembro de 2019, relativos ao exercício findo, não será totalmente permitida, exceto ajustes e lançamentos necessários para fechamento e fins de elaboração das demonstrações contábeis, os quais deverão ocorrer até o trigésimo dia de seu encerramento.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26. Para efeito do disposto no § 1º do art. 1º e do art. 42 da LC nº 101/2000, considera-se contraída a obrigação, e exigível o empenho da despesa correspondente, no momento da formalização do contrato administrativo ou instrumento congênere.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Parágrafo único. No caso de despesas relativas </w:t>
      </w:r>
      <w:proofErr w:type="gramStart"/>
      <w:r w:rsidRPr="007629B2">
        <w:rPr>
          <w:rFonts w:ascii="Arial" w:hAnsi="Arial" w:cs="Arial"/>
        </w:rPr>
        <w:t>à</w:t>
      </w:r>
      <w:proofErr w:type="gramEnd"/>
      <w:r w:rsidRPr="007629B2">
        <w:rPr>
          <w:rFonts w:ascii="Arial" w:hAnsi="Arial" w:cs="Arial"/>
        </w:rPr>
        <w:t xml:space="preserve"> obras e prestação de serviços, consideram-se compromissadas apenas as prestações cujos pagamentos devam ser realizados no exercício financeiro, observado o cronograma pactuado.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8" w:name="_Toc515609482"/>
      <w:r w:rsidRPr="007629B2">
        <w:rPr>
          <w:rFonts w:ascii="Arial" w:hAnsi="Arial" w:cs="Arial"/>
          <w:b/>
        </w:rPr>
        <w:t>Seção IV - Das Diretrizes sobre Alterações da Lei Orçamentária</w:t>
      </w:r>
      <w:bookmarkEnd w:id="8"/>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27. A abertura de créditos suplementares e especiais dependerá da existência de recursos disponíveis para a despesa, nos termos da Lei Federal nº 4.320/64.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Os recursos alocados na Lei Orçamentária de 2019 para pagamento de precatórios somente poderão ser cancelados para a abertura de créditos suplementares ou especiais para finalidades diversas mediante autorização legislativa específica.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4º Nos casos de abertura de créditos adicionais à conta de superávit financeiro, as exposições de motivos conterão informações relativas 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superávit financeiro do exercício de 2018, por fonte de recursos;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créditos especiais e extraordinários reabertos no exercício de 2019;</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xml:space="preserve">III - valores já utilizados em créditos adicionais, abertos ou em tramitação;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saldo atualizado do superávit financeiro disponível, por fonte de recursos.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5º Considera-se superávit financeiro do exercício anterior, para fins do § 2º do art. 43 da Lei Federal nº 4.320/64, os recursos que forem disponibilizados a partir do cancelamento de restos a pagar durante o exercício de 2019, obedecida a fonte de recursos correspondente.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6º Os projetos de lei relativos a créditos suplementares ou especiais solicitados pelo Poder Legislativo, com indicação de recursos de redução de dotações </w:t>
      </w:r>
      <w:proofErr w:type="gramStart"/>
      <w:r w:rsidRPr="007629B2">
        <w:rPr>
          <w:rFonts w:ascii="Arial" w:hAnsi="Arial" w:cs="Arial"/>
        </w:rPr>
        <w:t>do próprio poder</w:t>
      </w:r>
      <w:proofErr w:type="gramEnd"/>
      <w:r w:rsidRPr="007629B2">
        <w:rPr>
          <w:rFonts w:ascii="Arial" w:hAnsi="Arial" w:cs="Arial"/>
        </w:rPr>
        <w:t>, serão encaminhados à Câmara Municipal no prazo de até 30 dias, a contar do recebimento da solicitação.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28. No âmbito do Poder Legislativo, a abertura de créditos suplementares autorizados na Lei Orçamentária de 2019, com indicação de recursos compensatórios do próprio órgão, nos termos do art. 43, § 1º, inciso III, da Lei Federal nº 4.320/1964, proceder-se-á por ato do Presidente da Câmara dos Vereadores.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29. A reabertura dos créditos especiais e extraordinários, conforme disposto no art. 167, § 2º, da Constituição Federal, será efetivada, quando necessária, até 30 de Junho de 2019.</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Parágrafo único.  Caso seja necessário, a codificação da programação objeto da reabertura dos créditos especiais e extraordinários poderá ser adequada à constante da Lei Orçamentária de 2019, desde que não haja alteração da finalidade das ações orçamentárias.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30. O Poder Executivo poderá, mediante Decreto, transpor, remanejar, transferir ou utilizar, total ou parcialmente, as dotações orçamentárias aprovadas na Lei Orçamentária de 2019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7629B2" w:rsidRPr="007629B2" w:rsidRDefault="007629B2" w:rsidP="00CF4D2A">
      <w:pPr>
        <w:spacing w:line="360" w:lineRule="auto"/>
        <w:ind w:firstLine="2268"/>
        <w:jc w:val="both"/>
        <w:rPr>
          <w:rFonts w:ascii="Arial" w:hAnsi="Arial" w:cs="Arial"/>
        </w:rPr>
      </w:pPr>
      <w:r w:rsidRPr="007629B2">
        <w:rPr>
          <w:rFonts w:ascii="Arial" w:eastAsia="SimSun" w:hAnsi="Arial" w:cs="Arial"/>
          <w:color w:val="000000"/>
          <w:lang w:eastAsia="zh-CN"/>
        </w:rPr>
        <w:t xml:space="preserve"> </w:t>
      </w:r>
      <w:r w:rsidRPr="007629B2">
        <w:rPr>
          <w:rFonts w:ascii="Arial" w:eastAsia="SimSun" w:hAnsi="Arial" w:cs="Arial"/>
          <w:color w:val="000000"/>
          <w:lang w:eastAsia="zh-CN"/>
        </w:rPr>
        <w:tab/>
        <w:t>Parágrafo único. O disposto no caput também se aplica no caso da necessidade de alterações de codificações ou denominações das classificações orçamentárias, desde que constatado erro de ordem técnica ou legal, ou para adequação à classificação vigente, desde que não impliquem em mudança de valores e de finalidade da programação.</w:t>
      </w:r>
    </w:p>
    <w:p w:rsidR="007629B2" w:rsidRPr="007629B2" w:rsidRDefault="007629B2" w:rsidP="00CF4D2A">
      <w:pPr>
        <w:spacing w:line="360" w:lineRule="auto"/>
        <w:ind w:firstLine="2268"/>
        <w:jc w:val="both"/>
        <w:rPr>
          <w:rFonts w:ascii="Arial" w:hAnsi="Arial" w:cs="Arial"/>
          <w:b/>
        </w:rPr>
      </w:pPr>
      <w:bookmarkStart w:id="9" w:name="_Toc515609483"/>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Seção V - Da Destinação de Recursos Públicos a Pessoas Físicas e Jurídicas</w:t>
      </w:r>
      <w:bookmarkEnd w:id="9"/>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I - Das Subvenções Econômicas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7629B2">
        <w:rPr>
          <w:rFonts w:ascii="Arial" w:hAnsi="Arial" w:cs="Arial"/>
          <w:u w:val="single"/>
          <w:vertAlign w:val="superscript"/>
        </w:rPr>
        <w:t>o</w:t>
      </w:r>
      <w:r w:rsidRPr="007629B2">
        <w:rPr>
          <w:rFonts w:ascii="Arial" w:hAnsi="Arial" w:cs="Arial"/>
        </w:rPr>
        <w:t>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w:t>
      </w:r>
      <w:r w:rsidRPr="007629B2">
        <w:rPr>
          <w:rFonts w:ascii="Arial" w:hAnsi="Arial" w:cs="Arial"/>
          <w:u w:val="single"/>
          <w:vertAlign w:val="superscript"/>
        </w:rPr>
        <w:t>o</w:t>
      </w:r>
      <w:r w:rsidRPr="007629B2">
        <w:rPr>
          <w:rFonts w:ascii="Arial" w:hAnsi="Arial" w:cs="Arial"/>
        </w:rPr>
        <w:t xml:space="preserve"> Em atendimento ao disposto no art. 19 da Lei Federal n</w:t>
      </w:r>
      <w:r w:rsidRPr="007629B2">
        <w:rPr>
          <w:rFonts w:ascii="Arial" w:hAnsi="Arial" w:cs="Arial"/>
          <w:u w:val="single"/>
          <w:vertAlign w:val="superscript"/>
        </w:rPr>
        <w:t>o</w:t>
      </w:r>
      <w:r w:rsidRPr="007629B2">
        <w:rPr>
          <w:rFonts w:ascii="Arial" w:hAnsi="Arial" w:cs="Arial"/>
        </w:rPr>
        <w:t xml:space="preserve"> 4.320/1964, a destinação de recursos às entidades privadas com fins lucrativos de que trata o </w:t>
      </w:r>
      <w:r w:rsidRPr="007629B2">
        <w:rPr>
          <w:rFonts w:ascii="Arial" w:hAnsi="Arial" w:cs="Arial"/>
          <w:i/>
        </w:rPr>
        <w:t>caput</w:t>
      </w:r>
      <w:r w:rsidRPr="007629B2">
        <w:rPr>
          <w:rFonts w:ascii="Arial" w:hAnsi="Arial" w:cs="Arial"/>
        </w:rPr>
        <w:t xml:space="preserve"> somente poderá ocorrer por meio de subvenções econômicas, sendo vedada a transferência a título de contribuições ou auxílios para despesas de capital.</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rPr>
        <w:lastRenderedPageBreak/>
        <w:t>§ 2</w:t>
      </w:r>
      <w:r w:rsidRPr="007629B2">
        <w:rPr>
          <w:rFonts w:ascii="Arial" w:hAnsi="Arial" w:cs="Arial"/>
          <w:u w:val="single"/>
          <w:vertAlign w:val="superscript"/>
        </w:rPr>
        <w:t>o</w:t>
      </w:r>
      <w:r w:rsidRPr="007629B2">
        <w:rPr>
          <w:rFonts w:ascii="Arial" w:hAnsi="Arial" w:cs="Arial"/>
        </w:rPr>
        <w:t xml:space="preserve"> As transferências a entidades privadas com fins lucrativos de que trata o “caput” deste artigo, serão executadas </w:t>
      </w:r>
      <w:r w:rsidRPr="007629B2">
        <w:rPr>
          <w:rFonts w:ascii="Arial" w:hAnsi="Arial" w:cs="Arial"/>
          <w:snapToGrid w:val="0"/>
        </w:rPr>
        <w:t>na modalidade de aplicação “60 – Transferências a Instituições Privadas com fins lucrativos” e no elemento de despesa “45 – Subvenções Econômicas”.</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t xml:space="preserve">Art. 33. </w:t>
      </w:r>
      <w:r w:rsidRPr="007629B2">
        <w:rPr>
          <w:rFonts w:ascii="Arial" w:hAnsi="Arial"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II - Das Subvenções Sociais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34. A transferência de recursos a título de subvenções sociais, nos termos dos </w:t>
      </w:r>
      <w:proofErr w:type="spellStart"/>
      <w:r w:rsidRPr="007629B2">
        <w:rPr>
          <w:rFonts w:ascii="Arial" w:hAnsi="Arial" w:cs="Arial"/>
        </w:rPr>
        <w:t>arts</w:t>
      </w:r>
      <w:proofErr w:type="spellEnd"/>
      <w:r w:rsidRPr="007629B2">
        <w:rPr>
          <w:rFonts w:ascii="Arial" w:hAnsi="Arial" w:cs="Arial"/>
        </w:rPr>
        <w:t>. 12, § 3º, I, 16 e 17 da Lei Federal n</w:t>
      </w:r>
      <w:r w:rsidRPr="007629B2">
        <w:rPr>
          <w:rFonts w:ascii="Arial" w:hAnsi="Arial" w:cs="Arial"/>
          <w:u w:val="single"/>
          <w:vertAlign w:val="superscript"/>
        </w:rPr>
        <w:t>o</w:t>
      </w:r>
      <w:r w:rsidRPr="007629B2">
        <w:rPr>
          <w:rFonts w:ascii="Arial" w:hAnsi="Arial" w:cs="Arial"/>
        </w:rPr>
        <w:t xml:space="preserve"> 4.320/1964, </w:t>
      </w:r>
      <w:proofErr w:type="gramStart"/>
      <w:r w:rsidRPr="007629B2">
        <w:rPr>
          <w:rFonts w:ascii="Arial" w:hAnsi="Arial" w:cs="Arial"/>
        </w:rPr>
        <w:t>atenderá</w:t>
      </w:r>
      <w:proofErr w:type="gramEnd"/>
      <w:r w:rsidRPr="007629B2">
        <w:rPr>
          <w:rFonts w:ascii="Arial" w:hAnsi="Arial" w:cs="Arial"/>
        </w:rPr>
        <w:t xml:space="preserve"> às entidades privadas sem fins lucrativos que exerçam atividades de natureza continuada nas áreas de cultura, assistência social, saúde e educação.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III - Das Contribuições Correntes e de Capital</w:t>
      </w:r>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35. A transferência de recursos a título de contribuição corrente somente será destinada a entidades sem fins lucrativos que preencham uma das seguintes condições: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 – estejam autorizadas em lei que identifique expressamente a entidade beneficiária;</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II - estejam nominalmente identificadas na Lei Orçamentária de 2019; </w:t>
      </w:r>
      <w:proofErr w:type="gramStart"/>
      <w:r w:rsidRPr="007629B2">
        <w:rPr>
          <w:rFonts w:ascii="Arial" w:hAnsi="Arial" w:cs="Arial"/>
          <w:snapToGrid w:val="0"/>
        </w:rPr>
        <w:t>ou</w:t>
      </w:r>
      <w:proofErr w:type="gramEnd"/>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III - sejam selecionadas para execução, em parceria com a Administração Pública Municipal, de atividades ou projetos que contribuam </w:t>
      </w:r>
      <w:r w:rsidRPr="007629B2">
        <w:rPr>
          <w:rFonts w:ascii="Arial" w:hAnsi="Arial" w:cs="Arial"/>
          <w:snapToGrid w:val="0"/>
        </w:rPr>
        <w:lastRenderedPageBreak/>
        <w:t>diretamente para o alcance de diretrizes, objetivos e metas previstas no Plano Plurianual.</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rPr>
        <w:t xml:space="preserve">Parágrafo único. No caso dos incisos I e II do </w:t>
      </w:r>
      <w:r w:rsidRPr="007629B2">
        <w:rPr>
          <w:rFonts w:ascii="Arial" w:hAnsi="Arial" w:cs="Arial"/>
          <w:i/>
        </w:rPr>
        <w:t>caput</w:t>
      </w:r>
      <w:r w:rsidRPr="007629B2">
        <w:rPr>
          <w:rFonts w:ascii="Arial" w:hAnsi="Arial" w:cs="Arial"/>
        </w:rPr>
        <w:t>, a transferência dependerá da formalização do ajuste, observadas as exigências legais aplicáveis à espécie.</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36. A alocação de recursos para entidades privadas sem fins lucrativos, a título de contribuições de capital, fica condicionada à autorização em lei especial anterior de que trata o art. 12, § 6</w:t>
      </w:r>
      <w:r w:rsidRPr="007629B2">
        <w:rPr>
          <w:rFonts w:ascii="Arial" w:hAnsi="Arial" w:cs="Arial"/>
          <w:u w:val="single"/>
          <w:vertAlign w:val="superscript"/>
        </w:rPr>
        <w:t>o</w:t>
      </w:r>
      <w:r w:rsidRPr="007629B2">
        <w:rPr>
          <w:rFonts w:ascii="Arial" w:hAnsi="Arial" w:cs="Arial"/>
          <w:snapToGrid w:val="0"/>
        </w:rPr>
        <w:t>, da Lei Federal n</w:t>
      </w:r>
      <w:r w:rsidRPr="007629B2">
        <w:rPr>
          <w:rFonts w:ascii="Arial" w:hAnsi="Arial" w:cs="Arial"/>
          <w:u w:val="single"/>
          <w:vertAlign w:val="superscript"/>
        </w:rPr>
        <w:t>o</w:t>
      </w:r>
      <w:proofErr w:type="gramStart"/>
      <w:r w:rsidRPr="007629B2">
        <w:rPr>
          <w:rFonts w:ascii="Arial" w:hAnsi="Arial" w:cs="Arial"/>
          <w:u w:val="single"/>
          <w:vertAlign w:val="superscript"/>
        </w:rPr>
        <w:t xml:space="preserve"> </w:t>
      </w:r>
      <w:r w:rsidRPr="007629B2">
        <w:rPr>
          <w:rFonts w:ascii="Arial" w:hAnsi="Arial" w:cs="Arial"/>
          <w:vertAlign w:val="superscript"/>
        </w:rPr>
        <w:t xml:space="preserve">   </w:t>
      </w:r>
      <w:proofErr w:type="gramEnd"/>
      <w:r w:rsidRPr="007629B2">
        <w:rPr>
          <w:rFonts w:ascii="Arial" w:hAnsi="Arial" w:cs="Arial"/>
          <w:snapToGrid w:val="0"/>
        </w:rPr>
        <w:t>4.320/1964.</w:t>
      </w:r>
    </w:p>
    <w:p w:rsidR="007629B2" w:rsidRPr="007629B2" w:rsidRDefault="007629B2" w:rsidP="00CF4D2A">
      <w:pPr>
        <w:spacing w:line="360" w:lineRule="auto"/>
        <w:ind w:firstLine="2268"/>
        <w:jc w:val="both"/>
        <w:rPr>
          <w:rFonts w:ascii="Arial" w:hAnsi="Arial" w:cs="Arial"/>
          <w:snapToGrid w:val="0"/>
        </w:rPr>
      </w:pP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IV - Dos Auxílios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37. A transferência de recursos a título de auxílios, previstos no art. 12, § 6</w:t>
      </w:r>
      <w:r w:rsidRPr="007629B2">
        <w:rPr>
          <w:rFonts w:ascii="Arial" w:hAnsi="Arial" w:cs="Arial"/>
          <w:u w:val="single"/>
          <w:vertAlign w:val="superscript"/>
        </w:rPr>
        <w:t>o</w:t>
      </w:r>
      <w:r w:rsidRPr="007629B2">
        <w:rPr>
          <w:rFonts w:ascii="Arial" w:hAnsi="Arial" w:cs="Arial"/>
        </w:rPr>
        <w:t>, da Lei Federal n</w:t>
      </w:r>
      <w:r w:rsidRPr="007629B2">
        <w:rPr>
          <w:rFonts w:ascii="Arial" w:hAnsi="Arial" w:cs="Arial"/>
          <w:u w:val="single"/>
          <w:vertAlign w:val="superscript"/>
        </w:rPr>
        <w:t>o</w:t>
      </w:r>
      <w:r w:rsidRPr="007629B2">
        <w:rPr>
          <w:rFonts w:ascii="Arial" w:hAnsi="Arial" w:cs="Arial"/>
        </w:rPr>
        <w:t xml:space="preserve"> 4.320/1964, somente poderá ser realizada para entidades privadas sem fins lucrativos que sejam:</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de atendimento direto e gratuito ao público e voltadas para a educação básica;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para o desenvolvimento de programas voltados a manutenção e preservação do Meio Ambiente;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qualificadas como Organização da Sociedade Civil de Interesse Público - OSCIP, com termo de parceria firmada com o Poder Público Municipal, de acordo com a Lei Federal n</w:t>
      </w:r>
      <w:r w:rsidRPr="007629B2">
        <w:rPr>
          <w:rFonts w:ascii="Arial" w:hAnsi="Arial" w:cs="Arial"/>
          <w:u w:val="single"/>
          <w:vertAlign w:val="superscript"/>
        </w:rPr>
        <w:t>o</w:t>
      </w:r>
      <w:r w:rsidRPr="007629B2">
        <w:rPr>
          <w:rFonts w:ascii="Arial" w:hAnsi="Arial" w:cs="Arial"/>
        </w:rPr>
        <w:t xml:space="preserve"> 9.790/1999, e que participem da execução de programas constantes no plano plurianual, devendo a destinação de recursos </w:t>
      </w:r>
      <w:proofErr w:type="gramStart"/>
      <w:r w:rsidRPr="007629B2">
        <w:rPr>
          <w:rFonts w:ascii="Arial" w:hAnsi="Arial" w:cs="Arial"/>
        </w:rPr>
        <w:t>guardar</w:t>
      </w:r>
      <w:proofErr w:type="gramEnd"/>
      <w:r w:rsidRPr="007629B2">
        <w:rPr>
          <w:rFonts w:ascii="Arial" w:hAnsi="Arial" w:cs="Arial"/>
        </w:rPr>
        <w:t xml:space="preserve"> conformidade com os objetivos sociais da entidade;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V – qualificadas como Organizações Sociais – OS, com contrato de gestão celebrado com o Poder Público Municipal, de acordo com a Lei </w:t>
      </w:r>
      <w:r w:rsidRPr="007629B2">
        <w:rPr>
          <w:rFonts w:ascii="Arial" w:hAnsi="Arial" w:cs="Arial"/>
        </w:rPr>
        <w:lastRenderedPageBreak/>
        <w:t>Federal n</w:t>
      </w:r>
      <w:r w:rsidRPr="007629B2">
        <w:rPr>
          <w:rFonts w:ascii="Arial" w:hAnsi="Arial" w:cs="Arial"/>
          <w:u w:val="single"/>
          <w:vertAlign w:val="superscript"/>
        </w:rPr>
        <w:t>o</w:t>
      </w:r>
      <w:r w:rsidRPr="007629B2">
        <w:rPr>
          <w:rFonts w:ascii="Arial" w:hAnsi="Arial" w:cs="Arial"/>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qualificadas para o desenvolvimento de atividades esportivas que contribuam para a formação e capacitação de atletas;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destinada a atender, assegurar e a promover o exercício dos direitos e das liberdades fundamentais por pessoa com deficiência, visando à sua habilitação, reabilitação e integração social e cidadania, nos termos da Lei n</w:t>
      </w:r>
      <w:r w:rsidRPr="007629B2">
        <w:rPr>
          <w:rFonts w:ascii="Arial" w:hAnsi="Arial" w:cs="Arial"/>
          <w:u w:val="single"/>
          <w:vertAlign w:val="superscript"/>
        </w:rPr>
        <w:t>o</w:t>
      </w:r>
      <w:r w:rsidRPr="007629B2">
        <w:rPr>
          <w:rFonts w:ascii="Arial" w:hAnsi="Arial" w:cs="Arial"/>
        </w:rPr>
        <w:t> 13.146/2015;</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w:t>
      </w:r>
      <w:r w:rsidRPr="007629B2">
        <w:rPr>
          <w:rFonts w:ascii="Arial" w:hAnsi="Arial" w:cs="Arial"/>
          <w:u w:val="single"/>
          <w:vertAlign w:val="superscript"/>
        </w:rPr>
        <w:t>o</w:t>
      </w:r>
      <w:r w:rsidRPr="007629B2">
        <w:rPr>
          <w:rFonts w:ascii="Arial" w:hAnsi="Arial" w:cs="Arial"/>
        </w:rPr>
        <w:t> 12.305/2010, regulamentada pelo Decreto Federal n</w:t>
      </w:r>
      <w:r w:rsidRPr="007629B2">
        <w:rPr>
          <w:rFonts w:ascii="Arial" w:hAnsi="Arial" w:cs="Arial"/>
          <w:u w:val="single"/>
          <w:vertAlign w:val="superscript"/>
        </w:rPr>
        <w:t>o</w:t>
      </w:r>
      <w:r w:rsidRPr="007629B2">
        <w:rPr>
          <w:rFonts w:ascii="Arial" w:hAnsi="Arial" w:cs="Arial"/>
        </w:rPr>
        <w:t xml:space="preserve"> 7.404/2010; </w:t>
      </w:r>
      <w:proofErr w:type="gramStart"/>
      <w:r w:rsidRPr="007629B2">
        <w:rPr>
          <w:rFonts w:ascii="Arial" w:hAnsi="Arial" w:cs="Arial"/>
        </w:rPr>
        <w:t>e</w:t>
      </w:r>
      <w:proofErr w:type="gramEnd"/>
    </w:p>
    <w:p w:rsidR="007629B2" w:rsidRPr="007629B2" w:rsidRDefault="007629B2" w:rsidP="00CF4D2A">
      <w:pPr>
        <w:spacing w:line="360" w:lineRule="auto"/>
        <w:ind w:firstLine="2268"/>
        <w:jc w:val="both"/>
        <w:rPr>
          <w:rFonts w:ascii="Arial" w:hAnsi="Arial" w:cs="Arial"/>
        </w:rPr>
      </w:pPr>
      <w:r w:rsidRPr="007629B2">
        <w:rPr>
          <w:rFonts w:ascii="Arial" w:hAnsi="Arial" w:cs="Arial"/>
        </w:rPr>
        <w:t>IX - voltadas ao atendimento direto e gratuito ao público na área de assistência social que: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 se destinem a pessoas idosas, crianças e adolescentes em situação de vulnerabilidade social, risco pessoal e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b) sejam voltadas ao atendimento de pessoas em situação de vulnerabilidade social, violação de direito ou diretamente alcançadas por programas e ações de combate à pobreza e geração de trabalho e renda;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No caso do inciso I, a transferência de recursos públicos deve ser obrigatoriamente justificada e vinculada ao plano de expansão da oferta pública na respectiva etapa e modalidade de educação.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No caso do inciso IV, as</w:t>
      </w:r>
      <w:r w:rsidRPr="007629B2">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V - Das Disposições Gerais para Destinação de Recursos Públicos para Pessoas Físicas e Jurídicas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38. Sem prejuízo das demais disposições contidas nesta seção, a transferência de recursos prevista na Lei Federal n</w:t>
      </w:r>
      <w:r w:rsidRPr="007629B2">
        <w:rPr>
          <w:rFonts w:ascii="Arial" w:hAnsi="Arial" w:cs="Arial"/>
          <w:u w:val="single"/>
          <w:vertAlign w:val="superscript"/>
        </w:rPr>
        <w:t>o</w:t>
      </w:r>
      <w:r w:rsidRPr="007629B2">
        <w:rPr>
          <w:rFonts w:ascii="Arial" w:hAnsi="Arial" w:cs="Arial"/>
          <w:snapToGrid w:val="0"/>
        </w:rPr>
        <w:t xml:space="preserve"> 4.320/1964, a entidade privada sem fins lucrativos, dependerá ainda de:</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 – execução da despesa na modalidade de aplicação “50 – Transferências a Instituições Privadas sem fins lucrativos” e nos elementos de despesa “41 - Contribuições”, “42 - Auxílio” ou “43 - Subvenções Sociais”;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II – estar regularmente constituída, assim considerado:</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a) no mínimo </w:t>
      </w:r>
      <w:proofErr w:type="gramStart"/>
      <w:r w:rsidRPr="007629B2">
        <w:rPr>
          <w:rFonts w:ascii="Arial" w:hAnsi="Arial" w:cs="Arial"/>
          <w:snapToGrid w:val="0"/>
        </w:rPr>
        <w:t>1</w:t>
      </w:r>
      <w:proofErr w:type="gramEnd"/>
      <w:r w:rsidRPr="007629B2">
        <w:rPr>
          <w:rFonts w:ascii="Arial" w:hAnsi="Arial" w:cs="Arial"/>
          <w:snapToGrid w:val="0"/>
        </w:rPr>
        <w:t xml:space="preserve"> ano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b) tenha escrituração de acordo com os princípios fundamentais de contabilidade e com as Normas Brasileiras de Contabilidade;</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III – ter apresentado as prestações de contas de recursos anteriormente recebidos, nos prazos e condições fixados na legislação e no convênio ou termo de parceria, contrato ou instrumento </w:t>
      </w:r>
      <w:proofErr w:type="gramStart"/>
      <w:r w:rsidRPr="007629B2">
        <w:rPr>
          <w:rFonts w:ascii="Arial" w:hAnsi="Arial" w:cs="Arial"/>
          <w:snapToGrid w:val="0"/>
        </w:rPr>
        <w:t>congênere celebrados</w:t>
      </w:r>
      <w:proofErr w:type="gramEnd"/>
      <w:r w:rsidRPr="007629B2">
        <w:rPr>
          <w:rFonts w:ascii="Arial" w:hAnsi="Arial" w:cs="Arial"/>
          <w:snapToGrid w:val="0"/>
        </w:rPr>
        <w:t>;</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IV – inexistir prestação de contas rejeitada pela Administração Pública nos últimos </w:t>
      </w:r>
      <w:proofErr w:type="gramStart"/>
      <w:r w:rsidRPr="007629B2">
        <w:rPr>
          <w:rFonts w:ascii="Arial" w:hAnsi="Arial" w:cs="Arial"/>
          <w:snapToGrid w:val="0"/>
        </w:rPr>
        <w:t>5</w:t>
      </w:r>
      <w:proofErr w:type="gramEnd"/>
      <w:r w:rsidRPr="007629B2">
        <w:rPr>
          <w:rFonts w:ascii="Arial" w:hAnsi="Arial" w:cs="Arial"/>
          <w:snapToGrid w:val="0"/>
        </w:rPr>
        <w:t xml:space="preserve"> (cinco) anos, exceto se a apreciação das contas estiver pendente de decisão sobre recurso com efeito suspensivo, for sanada a irregularidade ou quitados os débitos ou reconsiderada a decisão pela rejeição</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V – não ter como dirigente pessoa que:</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 seja membro de Poder, órgão ou entidade da Administração Pública Municipal, estendendo-se a vedação aos respectivos cônjuges ou companheiros, bem como parentes em linha reta, colateral ou por afinidade, até o segundo grau;</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lastRenderedPageBreak/>
        <w:t xml:space="preserve">b) </w:t>
      </w:r>
      <w:r w:rsidRPr="007629B2">
        <w:rPr>
          <w:rFonts w:ascii="Arial" w:hAnsi="Arial" w:cs="Arial"/>
        </w:rPr>
        <w:t>incida em quaisquer das hipóteses de inelegibilidade previstas no art. 1</w:t>
      </w:r>
      <w:r w:rsidRPr="007629B2">
        <w:rPr>
          <w:rFonts w:ascii="Arial" w:hAnsi="Arial" w:cs="Arial"/>
          <w:u w:val="single"/>
          <w:vertAlign w:val="superscript"/>
        </w:rPr>
        <w:t>o</w:t>
      </w:r>
      <w:r w:rsidRPr="007629B2">
        <w:rPr>
          <w:rFonts w:ascii="Arial" w:hAnsi="Arial" w:cs="Arial"/>
        </w:rPr>
        <w:t xml:space="preserve">, inciso I, da Lei Complementar </w:t>
      </w:r>
      <w:proofErr w:type="gramStart"/>
      <w:r w:rsidRPr="007629B2">
        <w:rPr>
          <w:rFonts w:ascii="Arial" w:hAnsi="Arial" w:cs="Arial"/>
        </w:rPr>
        <w:t>n</w:t>
      </w:r>
      <w:r w:rsidRPr="007629B2">
        <w:rPr>
          <w:rFonts w:ascii="Arial" w:hAnsi="Arial" w:cs="Arial"/>
          <w:u w:val="single"/>
          <w:vertAlign w:val="superscript"/>
        </w:rPr>
        <w:t>o</w:t>
      </w:r>
      <w:r w:rsidRPr="007629B2">
        <w:rPr>
          <w:rFonts w:ascii="Arial" w:hAnsi="Arial" w:cs="Arial"/>
        </w:rPr>
        <w:t xml:space="preserve"> 64</w:t>
      </w:r>
      <w:proofErr w:type="gramEnd"/>
      <w:r w:rsidRPr="007629B2">
        <w:rPr>
          <w:rFonts w:ascii="Arial" w:hAnsi="Arial" w:cs="Arial"/>
        </w:rPr>
        <w:t>, de 18 de maio de 1990;</w:t>
      </w:r>
    </w:p>
    <w:p w:rsidR="007629B2" w:rsidRPr="007629B2" w:rsidRDefault="007629B2" w:rsidP="00CF4D2A">
      <w:pPr>
        <w:spacing w:line="360" w:lineRule="auto"/>
        <w:ind w:firstLine="2268"/>
        <w:jc w:val="both"/>
        <w:rPr>
          <w:rFonts w:ascii="Arial" w:hAnsi="Arial" w:cs="Arial"/>
          <w:color w:val="000000"/>
        </w:rPr>
      </w:pPr>
      <w:r w:rsidRPr="007629B2">
        <w:rPr>
          <w:rFonts w:ascii="Arial" w:hAnsi="Arial" w:cs="Arial"/>
        </w:rPr>
        <w:t xml:space="preserve">c) </w:t>
      </w:r>
      <w:r w:rsidRPr="007629B2">
        <w:rPr>
          <w:rFonts w:ascii="Arial" w:hAnsi="Arial" w:cs="Arial"/>
          <w:color w:val="000000"/>
        </w:rPr>
        <w:t xml:space="preserve">cujas contas relativas a convênios, termos de parcerias, contratos ou instrumentos congêneres tenham sido julgadas irregulares ou rejeitadas por Tribunal ou Conselho de Contas de qualquer esfera da Federação, em decisão irrecorrível, nos últimos </w:t>
      </w:r>
      <w:proofErr w:type="gramStart"/>
      <w:r w:rsidRPr="007629B2">
        <w:rPr>
          <w:rFonts w:ascii="Arial" w:hAnsi="Arial" w:cs="Arial"/>
          <w:color w:val="000000"/>
        </w:rPr>
        <w:t>8</w:t>
      </w:r>
      <w:proofErr w:type="gramEnd"/>
      <w:r w:rsidRPr="007629B2">
        <w:rPr>
          <w:rFonts w:ascii="Arial" w:hAnsi="Arial" w:cs="Arial"/>
          <w:color w:val="000000"/>
        </w:rPr>
        <w:t xml:space="preserve"> (oito) anos;</w:t>
      </w:r>
    </w:p>
    <w:p w:rsidR="007629B2" w:rsidRPr="007629B2" w:rsidRDefault="007629B2" w:rsidP="00CF4D2A">
      <w:pPr>
        <w:spacing w:line="360" w:lineRule="auto"/>
        <w:ind w:firstLine="2268"/>
        <w:jc w:val="both"/>
        <w:rPr>
          <w:rFonts w:ascii="Arial" w:hAnsi="Arial" w:cs="Arial"/>
          <w:color w:val="000000"/>
        </w:rPr>
      </w:pPr>
      <w:r w:rsidRPr="007629B2">
        <w:rPr>
          <w:rFonts w:ascii="Arial" w:hAnsi="Arial" w:cs="Arial"/>
          <w:color w:val="000000"/>
        </w:rPr>
        <w:t>d) tenha sido julgada responsável por falta grave e inabilitada para o exercício de cargo em comissão ou função de confiança, enquanto durar a inabilitação;</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color w:val="000000"/>
        </w:rPr>
        <w:t>e) tenha sido considerada responsável por ato de improbidade, enquanto durarem os prazos estabelecidos nos</w:t>
      </w:r>
      <w:r w:rsidRPr="007629B2">
        <w:rPr>
          <w:rStyle w:val="apple-converted-space"/>
          <w:rFonts w:ascii="Arial" w:hAnsi="Arial" w:cs="Arial"/>
          <w:color w:val="000000"/>
        </w:rPr>
        <w:t> </w:t>
      </w:r>
      <w:r w:rsidRPr="007629B2">
        <w:rPr>
          <w:rFonts w:ascii="Arial" w:hAnsi="Arial" w:cs="Arial"/>
        </w:rPr>
        <w:t>incisos I, II e III do art. 12 da Lei no</w:t>
      </w:r>
      <w:r w:rsidRPr="007629B2">
        <w:rPr>
          <w:rStyle w:val="apple-converted-space"/>
          <w:rFonts w:ascii="Arial" w:hAnsi="Arial" w:cs="Arial"/>
          <w:color w:val="0000FF"/>
          <w:u w:val="single"/>
        </w:rPr>
        <w:t> </w:t>
      </w:r>
      <w:r w:rsidRPr="007629B2">
        <w:rPr>
          <w:rFonts w:ascii="Arial" w:hAnsi="Arial" w:cs="Arial"/>
        </w:rPr>
        <w:t xml:space="preserve">8.429, de </w:t>
      </w:r>
      <w:proofErr w:type="gramStart"/>
      <w:r w:rsidRPr="007629B2">
        <w:rPr>
          <w:rFonts w:ascii="Arial" w:hAnsi="Arial" w:cs="Arial"/>
        </w:rPr>
        <w:t>2</w:t>
      </w:r>
      <w:proofErr w:type="gramEnd"/>
      <w:r w:rsidRPr="007629B2">
        <w:rPr>
          <w:rFonts w:ascii="Arial" w:hAnsi="Arial" w:cs="Arial"/>
        </w:rPr>
        <w:t xml:space="preserve"> de junho de 1992</w:t>
      </w:r>
      <w:r w:rsidRPr="007629B2">
        <w:rPr>
          <w:rFonts w:ascii="Arial" w:hAnsi="Arial" w:cs="Arial"/>
          <w:color w:val="000000"/>
        </w:rPr>
        <w:t>.</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VI – formalização de processo administrativo, no qual </w:t>
      </w:r>
      <w:proofErr w:type="gramStart"/>
      <w:r w:rsidRPr="007629B2">
        <w:rPr>
          <w:rFonts w:ascii="Arial" w:hAnsi="Arial" w:cs="Arial"/>
          <w:snapToGrid w:val="0"/>
        </w:rPr>
        <w:t>fiquem</w:t>
      </w:r>
      <w:proofErr w:type="gramEnd"/>
      <w:r w:rsidRPr="007629B2">
        <w:rPr>
          <w:rFonts w:ascii="Arial" w:hAnsi="Arial" w:cs="Arial"/>
          <w:snapToGrid w:val="0"/>
        </w:rPr>
        <w:t xml:space="preserve">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Parágrafo único. Caberá ao setor jurídico verificar e declarar a </w:t>
      </w:r>
      <w:proofErr w:type="gramStart"/>
      <w:r w:rsidRPr="007629B2">
        <w:rPr>
          <w:rFonts w:ascii="Arial" w:hAnsi="Arial" w:cs="Arial"/>
        </w:rPr>
        <w:t>implementação</w:t>
      </w:r>
      <w:proofErr w:type="gramEnd"/>
      <w:r w:rsidRPr="007629B2">
        <w:rPr>
          <w:rFonts w:ascii="Arial" w:hAnsi="Arial" w:cs="Arial"/>
        </w:rPr>
        <w:t xml:space="preserve"> das condições previstas neste artigo e demais requisitos estabelecidos nesta seção, comunicando à Unidade Central de Controle Interno eventuais irregularidades verificadas.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39.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lastRenderedPageBreak/>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 – nome e CNPJ da entidade; </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II – nome, função e CPF dos dirigentes; </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III – área de atuação;</w:t>
      </w:r>
      <w:proofErr w:type="gramStart"/>
      <w:r w:rsidRPr="007629B2">
        <w:rPr>
          <w:rFonts w:ascii="Arial" w:hAnsi="Arial" w:cs="Arial"/>
          <w:snapToGrid w:val="0"/>
        </w:rPr>
        <w:t xml:space="preserve">  </w:t>
      </w:r>
    </w:p>
    <w:p w:rsidR="007629B2" w:rsidRPr="007629B2" w:rsidRDefault="007629B2" w:rsidP="00CF4D2A">
      <w:pPr>
        <w:spacing w:line="360" w:lineRule="auto"/>
        <w:ind w:firstLine="2268"/>
        <w:jc w:val="both"/>
        <w:rPr>
          <w:rFonts w:ascii="Arial" w:hAnsi="Arial" w:cs="Arial"/>
          <w:snapToGrid w:val="0"/>
        </w:rPr>
      </w:pPr>
      <w:proofErr w:type="gramEnd"/>
      <w:r w:rsidRPr="007629B2">
        <w:rPr>
          <w:rFonts w:ascii="Arial" w:hAnsi="Arial" w:cs="Arial"/>
          <w:snapToGrid w:val="0"/>
        </w:rPr>
        <w:t xml:space="preserve">V – endereço da sede; </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V – data, objeto, valor e número do convênio, termo de parceria, contrato ou instrumento congênere; </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VI – valores transferidos e respectivas datas. </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t xml:space="preserve">Art. 41. Não serão consideradas subvenções, auxílios ou contribuições, o </w:t>
      </w:r>
      <w:r w:rsidRPr="007629B2">
        <w:rPr>
          <w:rFonts w:ascii="Arial" w:hAnsi="Arial" w:cs="Arial"/>
        </w:rPr>
        <w:t>rateio das despesas decorrentes da participação do Município em Consórcios Públicos instituído nos termos da Lei Federal nº 11.107/2005.</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42. As transferências de recursos de que trata esta Seção serão feitas por intermédio de instituição financeira oficial determinada pela Administração Pública, podendo a nota de empenho ser emitida até a data da assinatura do respectivo convênio, termo de parceria, ajuste ou instrumento congênere, observado o princípio da competência da despesa, previsto no art. 50, inciso II, da Lei Complementar n</w:t>
      </w:r>
      <w:r w:rsidRPr="007629B2">
        <w:rPr>
          <w:rFonts w:ascii="Arial" w:hAnsi="Arial" w:cs="Arial"/>
          <w:snapToGrid w:val="0"/>
          <w:u w:val="single"/>
          <w:vertAlign w:val="superscript"/>
        </w:rPr>
        <w:t>o</w:t>
      </w:r>
      <w:r w:rsidRPr="007629B2">
        <w:rPr>
          <w:rFonts w:ascii="Arial" w:hAnsi="Arial" w:cs="Arial"/>
          <w:snapToGrid w:val="0"/>
        </w:rPr>
        <w:t> 101/2000.</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43. Toda movimentação de recursos relativos às subvenções, contribuições e auxílios de que trata esta Seção, por parte das entidades beneficiárias, somente será realizada observando-se os seguintes preceitos: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 – depósito e movimentação em conta bancária específica para cada instrumento de transferência;</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II - desembolsos mediante documento bancário, por meio do qual se faça crédito na conta bancária de titularidade do fornecedor ou prestador de serviços.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lastRenderedPageBreak/>
        <w:t xml:space="preserve">Parágrafo único. Em </w:t>
      </w:r>
      <w:proofErr w:type="gramStart"/>
      <w:r w:rsidRPr="007629B2">
        <w:rPr>
          <w:rFonts w:ascii="Arial" w:hAnsi="Arial" w:cs="Arial"/>
          <w:snapToGrid w:val="0"/>
        </w:rPr>
        <w:t>sendo formalmente demonstrada</w:t>
      </w:r>
      <w:proofErr w:type="gramEnd"/>
      <w:r w:rsidRPr="007629B2">
        <w:rPr>
          <w:rFonts w:ascii="Arial" w:hAnsi="Arial" w:cs="Arial"/>
          <w:snapToGrid w:val="0"/>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7629B2" w:rsidRPr="007629B2" w:rsidRDefault="007629B2" w:rsidP="00CF4D2A">
      <w:pPr>
        <w:spacing w:line="360" w:lineRule="auto"/>
        <w:ind w:firstLine="2268"/>
        <w:jc w:val="both"/>
        <w:rPr>
          <w:rFonts w:ascii="Arial" w:hAnsi="Arial" w:cs="Arial"/>
          <w:snapToGrid w:val="0"/>
        </w:rPr>
      </w:pPr>
    </w:p>
    <w:p w:rsidR="007629B2" w:rsidRPr="007629B2" w:rsidRDefault="007629B2" w:rsidP="00CF4D2A">
      <w:pPr>
        <w:spacing w:line="360" w:lineRule="auto"/>
        <w:ind w:firstLine="2268"/>
        <w:jc w:val="both"/>
        <w:rPr>
          <w:rFonts w:ascii="Arial" w:hAnsi="Arial" w:cs="Arial"/>
          <w:b/>
        </w:rPr>
      </w:pPr>
      <w:bookmarkStart w:id="10" w:name="_Toc515609484"/>
      <w:proofErr w:type="gramStart"/>
      <w:r w:rsidRPr="007629B2">
        <w:rPr>
          <w:rFonts w:ascii="Arial" w:hAnsi="Arial" w:cs="Arial"/>
          <w:b/>
        </w:rPr>
        <w:t>Seção VI</w:t>
      </w:r>
      <w:proofErr w:type="gramEnd"/>
      <w:r w:rsidRPr="007629B2">
        <w:rPr>
          <w:rFonts w:ascii="Arial" w:hAnsi="Arial" w:cs="Arial"/>
          <w:b/>
        </w:rPr>
        <w:t xml:space="preserve"> - Dos Empréstimos, Financiamentos e Refinanciamentos</w:t>
      </w:r>
      <w:bookmarkEnd w:id="10"/>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44. Observado o disposto no art. 27 da LC nº 101/2000, a concessão de empréstimos e financiamentos destinados a pessoas físicas e jurídicas fica condicionada ao pagamento de juros não inferiores a 12% ao ano, ou ao custo de captação e também às seguintes exigências: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concessão através de fundo rotativo ou programa governamental específico;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pré-seleção e aprovação dos beneficiários pelo Poder Público;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formalização de contrato;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assunção, pelo mutuário, dos encargos financeiros, eventuais comissões, taxas e outras despesas cobradas pelo agente financeiro, quando for o caso.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No caso das pessoas jurídicas, serão consideradas como prioritárias, para a concessão de empréstimos ou financiamentos, as empresas que: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 - desenvolvam projetos de responsabilidade socioambiental;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 integrem as cadeias produtivas locais;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empreguem pessoas com deficiência em proporção superior à exigida no art. 110 da Lei Federal nº</w:t>
      </w:r>
      <w:proofErr w:type="gramStart"/>
      <w:r w:rsidRPr="007629B2">
        <w:rPr>
          <w:rFonts w:ascii="Arial" w:hAnsi="Arial" w:cs="Arial"/>
        </w:rPr>
        <w:t xml:space="preserve">  </w:t>
      </w:r>
      <w:proofErr w:type="gramEnd"/>
      <w:r w:rsidRPr="007629B2">
        <w:rPr>
          <w:rFonts w:ascii="Arial" w:hAnsi="Arial" w:cs="Arial"/>
        </w:rPr>
        <w:t xml:space="preserve">8.213, de 24 de julho de 1991;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IV - adotem políticas de participação dos trabalhadores nos lucros;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Através de lei específica, poderá ser concedido subsídio para o pagamento dos empréstimos e financiamentos de que trata 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As prorrogações e composições de dívidas decorrentes de empréstimos, financiamentos e refinanciamentos concedidos com recursos do Município dependem de autorização expressa em lei específica.</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1" w:name="_Toc515609485"/>
      <w:proofErr w:type="gramStart"/>
      <w:r w:rsidRPr="007629B2">
        <w:rPr>
          <w:rFonts w:ascii="Arial" w:hAnsi="Arial" w:cs="Arial"/>
          <w:b/>
        </w:rPr>
        <w:t>Capítulo VI</w:t>
      </w:r>
      <w:proofErr w:type="gramEnd"/>
      <w:r w:rsidRPr="007629B2">
        <w:rPr>
          <w:rFonts w:ascii="Arial" w:hAnsi="Arial" w:cs="Arial"/>
          <w:b/>
        </w:rPr>
        <w:t xml:space="preserve"> - Das Disposições Relativas à Dívida Pública Municipal</w:t>
      </w:r>
      <w:bookmarkEnd w:id="11"/>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45. A lei orçamentária anual garantirá recursos para pagamento da dívida pública municipal, nos termos dos compromissos firmados, inclusive com a previdência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46.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2" w:name="_Toc515609486"/>
      <w:r w:rsidRPr="007629B2">
        <w:rPr>
          <w:rFonts w:ascii="Arial" w:hAnsi="Arial" w:cs="Arial"/>
          <w:b/>
        </w:rPr>
        <w:t xml:space="preserve">Capítulo VII - Das Disposições Relativas às Despesas com </w:t>
      </w: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Pessoal e Encargos Sociais</w:t>
      </w:r>
      <w:bookmarkEnd w:id="12"/>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47. No exercício de 2019, as despesas globais com pessoal e encargos sociais do Município, dos Poderes Executivo e </w:t>
      </w:r>
      <w:proofErr w:type="gramStart"/>
      <w:r w:rsidRPr="007629B2">
        <w:rPr>
          <w:rFonts w:ascii="Arial" w:hAnsi="Arial" w:cs="Arial"/>
        </w:rPr>
        <w:t>Legislativo, compreendidas</w:t>
      </w:r>
      <w:proofErr w:type="gramEnd"/>
      <w:r w:rsidRPr="007629B2">
        <w:rPr>
          <w:rFonts w:ascii="Arial" w:hAnsi="Arial" w:cs="Arial"/>
        </w:rPr>
        <w:t xml:space="preserve"> as entidades mencionadas no art. 10 dessa Lei, deverão obedecer às disposições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xml:space="preserve">§ 1º Os Poderes Executivo e Legislativo terão como base de projeção de suas propostas orçamentárias, relativo </w:t>
      </w:r>
      <w:proofErr w:type="gramStart"/>
      <w:r w:rsidRPr="007629B2">
        <w:rPr>
          <w:rFonts w:ascii="Arial" w:hAnsi="Arial" w:cs="Arial"/>
        </w:rPr>
        <w:t>a</w:t>
      </w:r>
      <w:proofErr w:type="gramEnd"/>
      <w:r w:rsidRPr="007629B2">
        <w:rPr>
          <w:rFonts w:ascii="Arial" w:hAnsi="Arial" w:cs="Arial"/>
        </w:rPr>
        <w:t xml:space="preserve"> pessoal e encargos sociais, a despesa com a folha de pagamento do mês de Agosto de 2018, compatibilizada com as despesas apresentadas até esse mês e os eventuais acréscimos legais, inclusive a revisão geral anual da remuneração dos servidores públicos, o crescimento vegetativo, e o disposto no art. 50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 revisão </w:t>
      </w:r>
      <w:r w:rsidR="00CF4D2A" w:rsidRPr="007629B2">
        <w:rPr>
          <w:rFonts w:ascii="Arial" w:hAnsi="Arial" w:cs="Arial"/>
        </w:rPr>
        <w:t>geral anual da remuneração dos servidores públicos municipal</w:t>
      </w:r>
      <w:r w:rsidRPr="007629B2">
        <w:rPr>
          <w:rFonts w:ascii="Arial" w:hAnsi="Arial" w:cs="Arial"/>
        </w:rPr>
        <w:t xml:space="preserve"> e do subsídio de que trata o § 4º do art. 39 da Constituição Federal, levará em conta, tanto quanto possível, a variação do poder aquisitivo da moeda nacional, segundo índices oficiais.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48. Para fins dos limites previstos no art. 19, inciso III, alíneas “a” e “b” da LC nº 101/2000, o cálculo das despesas com pessoal dos poderes executivo e legislativo deverá observar as prescrições da Instrução Normativa nº 12/2017 do Tribunal de Contas do Estado, ou a norma que lhe for superveniente.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Parágrafo único. O Poder Legislativo</w:t>
      </w:r>
      <w:proofErr w:type="gramStart"/>
      <w:r w:rsidRPr="007629B2">
        <w:rPr>
          <w:rFonts w:ascii="Arial" w:hAnsi="Arial" w:cs="Arial"/>
        </w:rPr>
        <w:t>, observará</w:t>
      </w:r>
      <w:proofErr w:type="gramEnd"/>
      <w:r w:rsidRPr="007629B2">
        <w:rPr>
          <w:rFonts w:ascii="Arial" w:hAnsi="Arial" w:cs="Arial"/>
        </w:rPr>
        <w:t xml:space="preserve"> o cumprimento do disposto neste artigo, mediante ato da mesa diretora da Câmara Municipal.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50. O aumento da despesa com pessoal, em decorrência de quaisquer das medidas relacionadas no artigo 169, § 1º, da Constituição Federal, desde que observada </w:t>
      </w:r>
      <w:proofErr w:type="gramStart"/>
      <w:r w:rsidRPr="007629B2">
        <w:rPr>
          <w:rFonts w:ascii="Arial" w:hAnsi="Arial" w:cs="Arial"/>
        </w:rPr>
        <w:t>a</w:t>
      </w:r>
      <w:proofErr w:type="gramEnd"/>
      <w:r w:rsidRPr="007629B2">
        <w:rPr>
          <w:rFonts w:ascii="Arial" w:hAnsi="Arial" w:cs="Arial"/>
        </w:rPr>
        <w:t xml:space="preserve"> legislação vigente, respeitados os limites previstos nos artigos 20 e 22, parágrafo único, da LC nº 101/2000, e cumpridas as exigências previstas nos artigos 16 e 17 do referido diploma legal, fica autorizado para: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conceder vantagens e aumentar a remuneração de servidores;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criar e extinguir cargos públicos e alterar a estrutura de carreiras;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III – prover cargos efetivos, mediante concurso público, bem como efetuar contratações por tempo determinado para atender à necessidade temporária de excepcional interesse público, respeitada a legislação municipal vigente;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prover cargos em comissão e funções de confiança;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melhorar a qualidade do serviço público mediante a valorização do servidor municipal, reconhecendo a função social do seu trabalho;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proporcionar o desenvolvimento profissional de servidores municipais, mediante a realização de programas de treinamento;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proporcionar o desenvolvimento pessoal dos servidores municipais, mediante a realização de programas informativos, educativos e culturais;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melhorar as condições de trabalho, equipamentos e infraestrutura, especialmente no que concerne à saúde, alimentação, transporte, segurança no trabalho e justa remuneração.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No caso dos incisos I, II, III e IV além dos requisitos estabelecidos no </w:t>
      </w:r>
      <w:r w:rsidRPr="007629B2">
        <w:rPr>
          <w:rFonts w:ascii="Arial" w:hAnsi="Arial" w:cs="Arial"/>
          <w:i/>
        </w:rPr>
        <w:t>caput</w:t>
      </w:r>
      <w:r w:rsidRPr="007629B2">
        <w:rPr>
          <w:rFonts w:ascii="Arial" w:hAnsi="Arial" w:cs="Arial"/>
        </w:rPr>
        <w:t xml:space="preserve"> deste artigo, os projetos de lei deverão demonstrar, em sua exposição de motivos, para os efeitos dos artigos 16 e 17 da LC nº 101/2000, as seguintes informações: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No caso de provimento de cargos, salvo quando ocorrer dentro do exercício da sua criação, a estimativa do impacto orçamentário e financeiro deverá instruir o expediente administrativo correspondente, juntamente com a </w:t>
      </w:r>
      <w:r w:rsidRPr="007629B2">
        <w:rPr>
          <w:rFonts w:ascii="Arial" w:hAnsi="Arial" w:cs="Arial"/>
        </w:rPr>
        <w:lastRenderedPageBreak/>
        <w:t>declaração do ordenador da despesa, de que o aumento tem adequação com a lei orçamentária anual, exigência essa a ser cumprida nos demais atos de contratação.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3º No caso de aumento de despesas com pessoal do Poder Legislativo, deverão ser obedecidos, adicionalmente, os limites fixados nos </w:t>
      </w:r>
      <w:proofErr w:type="spellStart"/>
      <w:r w:rsidRPr="007629B2">
        <w:rPr>
          <w:rFonts w:ascii="Arial" w:hAnsi="Arial" w:cs="Arial"/>
        </w:rPr>
        <w:t>arts</w:t>
      </w:r>
      <w:proofErr w:type="spellEnd"/>
      <w:r w:rsidRPr="007629B2">
        <w:rPr>
          <w:rFonts w:ascii="Arial" w:hAnsi="Arial" w:cs="Arial"/>
        </w:rPr>
        <w:t xml:space="preserve">. 29 e 29-A da Constituição Federal.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4º Ficam dispensados, da estimativa de impacto orçamentário e financeiro, atos de concessão de vantagens já previstas na legislação pertinente, de caráter meramente declaratório.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Art. 51.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as situações de emergência ou de calamidade pública;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as situações de risco iminente à segurança de pessoas ou bens;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III – a relação custo-benefício se revelar mais favorável em relação </w:t>
      </w:r>
      <w:proofErr w:type="gramStart"/>
      <w:r w:rsidRPr="007629B2">
        <w:rPr>
          <w:rFonts w:ascii="Arial" w:hAnsi="Arial" w:cs="Arial"/>
        </w:rPr>
        <w:t>a</w:t>
      </w:r>
      <w:proofErr w:type="gramEnd"/>
      <w:r w:rsidRPr="007629B2">
        <w:rPr>
          <w:rFonts w:ascii="Arial" w:hAnsi="Arial" w:cs="Arial"/>
        </w:rPr>
        <w:t xml:space="preserve"> outra alternativa possível.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Parágrafo único. A autorização para a realização de serviço extraordinário, no âmbito do Poder Executivo, nas condições estabelecidas neste artigo, é de competência do Prefeito municipal, e também do Secretário responsável com designação pelo prefeito.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3" w:name="_Toc515609487"/>
      <w:r w:rsidRPr="007629B2">
        <w:rPr>
          <w:rFonts w:ascii="Arial" w:hAnsi="Arial" w:cs="Arial"/>
          <w:b/>
        </w:rPr>
        <w:t>Capítulo VIII - Das Alterações na Legislação Tributária</w:t>
      </w:r>
      <w:bookmarkEnd w:id="13"/>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52. As receitas serão estimadas e discriminadas: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 - considerando a legislação tributária vigente até a data do envio do projeto de lei orçamentária à Câmara Municipal;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considerando, se for o caso, os efeitos das alterações na legislação tributária, resultantes de projetos de lei encaminhados à Câmara Municipal até a data de apresentação da proposta orçamentária de 2019, especialmente sobre: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 atualização da planta genérica de valores do Município;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c) revisão da legislação sobre o uso do solo, com redefinição dos limites da zona urbana municipal;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d) revisão da legislação referente ao Imposto Sobre Serviços de Qualquer Natureza;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e) revisão da legislação aplicável ao Imposto Sobre Transmissão Inter Vivos de Bens Imóveis e de Direitos Reais sobre Imóveis;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f) instituição de novas taxas pela prestação de serviços públicos e pelo exercício do poder de polícia;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g) revisão das isenções tributárias, para atender ao interesse público e à justiça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h) revisão das contribuições sociais, destinadas à seguridade social, cuja necessidade tenha sido evidenciada através de cálculo atuarial;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demais incentivos e benefícios fiscais.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53.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xml:space="preserve">Art. 54.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 aumento de receita proveniente de elevação de alíquota, ampliação da base de cálculo, majoração ou criação de tributo ou contribuição;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b) cancelamento, durante o período em que vigorar o benefício, de despesas em valor equivalente. </w:t>
      </w:r>
    </w:p>
    <w:p w:rsidR="007629B2" w:rsidRPr="007629B2" w:rsidRDefault="007629B2" w:rsidP="00CF4D2A">
      <w:pPr>
        <w:spacing w:line="360" w:lineRule="auto"/>
        <w:ind w:firstLine="2268"/>
        <w:jc w:val="both"/>
        <w:rPr>
          <w:rFonts w:ascii="Arial" w:hAnsi="Arial" w:cs="Arial"/>
          <w:lang w:val="pt-PT" w:eastAsia="pt-PT"/>
        </w:rPr>
      </w:pPr>
      <w:r w:rsidRPr="007629B2">
        <w:rPr>
          <w:rFonts w:ascii="Arial" w:hAnsi="Arial"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7629B2">
        <w:rPr>
          <w:rFonts w:ascii="Arial" w:hAnsi="Arial" w:cs="Arial"/>
          <w:lang w:val="pt-PT" w:eastAsia="pt-PT"/>
        </w:rPr>
        <w:t xml:space="preserve">a variação do Índice Nacional de Preços ao Consumidor Amplo calculado pela Fundação Instituto Brasileiro de Geografia e Estatística - IBGE.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Não se sujeitam às regras do §1º:</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w:t>
      </w:r>
      <w:proofErr w:type="gramStart"/>
      <w:r w:rsidRPr="007629B2">
        <w:rPr>
          <w:rFonts w:ascii="Arial" w:hAnsi="Arial" w:cs="Arial"/>
        </w:rPr>
        <w:t xml:space="preserve">  </w:t>
      </w:r>
      <w:proofErr w:type="gramEnd"/>
      <w:r w:rsidRPr="007629B2">
        <w:rPr>
          <w:rFonts w:ascii="Arial" w:hAnsi="Arial" w:cs="Arial"/>
        </w:rPr>
        <w:t>a homologação de pedidos de isenção, remissão ou anistia apresentados com base na legislação municipal preexistente;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proposições de incentivos ou benefícios fiscais de natureza tributária ou não tributária cujo impacto seja irrelevante, assim considerado o limite de 0,20 % da Receita Corrente Líquida realizada no exercício de 2018.</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55. Conforme permissivo do art. 172, inciso III, da Lei Federal nº 5.172, de 25 de outubro de 1966, Código Tributário Nacional, e o inciso II, do §3º do art. 14, da Lei Complementar nº 101/2000, os créditos tributários lançados e </w:t>
      </w:r>
      <w:r w:rsidRPr="007629B2">
        <w:rPr>
          <w:rFonts w:ascii="Arial" w:hAnsi="Arial" w:cs="Arial"/>
        </w:rPr>
        <w:lastRenderedPageBreak/>
        <w:t>não arrecadados, inscritos em dívida ativa, cujos custos para cobrança sejam superiores ao crédito tributário, poderão ser cancelados, mediante autorização em lei, não se constituindo como renúncia de receita.</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4" w:name="_Toc515609488"/>
      <w:r w:rsidRPr="007629B2">
        <w:rPr>
          <w:rFonts w:ascii="Arial" w:hAnsi="Arial" w:cs="Arial"/>
          <w:b/>
        </w:rPr>
        <w:t xml:space="preserve">Capítulo IX - Das Disposições Relativas ao Regime de Aprovação e </w:t>
      </w: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Execução das Emendas Individuais</w:t>
      </w:r>
      <w:bookmarkEnd w:id="14"/>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56. O regime de aprovação e execução das emendas individuais ao projeto de lei orçamentária de que tratam os §§ 9º a 18 do art. 166 da Constituição da República atenderão ao disposto neste Capítulo.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57. É obrigatória a execução orçamentária e financeira, de forma equitativa, das programações decorrentes de emendas individuais aprovadas ao projeto de lei orçamentária, observado, na </w:t>
      </w:r>
      <w:r w:rsidR="00CF4D2A">
        <w:rPr>
          <w:rFonts w:ascii="Arial" w:hAnsi="Arial" w:cs="Arial"/>
        </w:rPr>
        <w:t>execução, o limite estabelecido</w:t>
      </w:r>
      <w:r w:rsidRPr="007629B2">
        <w:rPr>
          <w:rFonts w:ascii="Arial" w:hAnsi="Arial" w:cs="Arial"/>
        </w:rPr>
        <w:t xml:space="preserve"> no § 11 do art. 166 da Constituição.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Considera-se execução equitativa a execução das programações que atenda, de forma igualitária e impessoal, as emendas apresentadas, independentemente da autoria.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A obrigatoriedade de execução orçamentária e financeira de que trata o caput compreende, cumulativamente, o empenho e o pagamento, observado o disposto no §16 do art. 166 da Constituição.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Se, durante o exercício financeiro de 2019, for verificada a frustração de receitas na forma estabelecida pelos §§3° e 4º do art. 2º desta Lei, a execução orçamentária das programações orçamentárias das emendas individuais poderá ser reduzida na mesma proporção.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Art. 58. Para fins de atendimento ao disposto no art. 57, sem prejuízo da redução prevista no seu § 3º, o Projeto de Lei Orçamentária de 2019 conterá reserva de contingência específica em valor equivalente 1,2% (um inteiro e dois décimos por cento) da receita corrente líquida estimada para o exercício, a qual deverá ser indicada como fonte de recursos para a aprovação das emendas individuais.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Para fins de cálculo do valor da Receita Corrente Liquida</w:t>
      </w:r>
      <w:proofErr w:type="gramStart"/>
      <w:r w:rsidRPr="007629B2">
        <w:rPr>
          <w:rFonts w:ascii="Arial" w:hAnsi="Arial" w:cs="Arial"/>
        </w:rPr>
        <w:t xml:space="preserve">  </w:t>
      </w:r>
      <w:proofErr w:type="gramEnd"/>
      <w:r w:rsidRPr="007629B2">
        <w:rPr>
          <w:rFonts w:ascii="Arial" w:hAnsi="Arial" w:cs="Arial"/>
        </w:rPr>
        <w:t>de que trata o caput, considerar-se-á a metodologia estabelecida na Instrução Normativa nº 12/2017, do Tribunal de Contas do Estado ou a norma que lhe for superveniente.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O valor do limite para apresentação das emendas individuais por autor será obtido a partir da divisão do montante estabelecido no caput pelo número máximo de vereadores admitido pela Constituição Federal.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3º É vedada qualquer forma de cessão ou transferência entre vereadores ou bancadas, do limite individual de que trata o parágrafo anterior.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4º Não será obrigatória </w:t>
      </w:r>
      <w:proofErr w:type="gramStart"/>
      <w:r w:rsidRPr="007629B2">
        <w:rPr>
          <w:rFonts w:ascii="Arial" w:hAnsi="Arial" w:cs="Arial"/>
        </w:rPr>
        <w:t>a</w:t>
      </w:r>
      <w:proofErr w:type="gramEnd"/>
      <w:r w:rsidRPr="007629B2">
        <w:rPr>
          <w:rFonts w:ascii="Arial" w:hAnsi="Arial" w:cs="Arial"/>
        </w:rPr>
        <w:t xml:space="preserve"> execução orçamentária e financeira da emenda individual que desatenda ao disposto nos §§ 9º e 10 do art. 166 da Constituição Federal, ou os critérios estabelecidos neste artigo, sendo os recursos correspondentes revertidos à reserva de contingência de que trata o art. 14, II, desta Lei.</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59. Para fins do disposto no § 12 do art. 166 da Constituição, consideram-se, impedimentos de ordem técnica: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não indicação, pelo autor da emenda individual, quando for o caso, do beneficiário e respectivo valor da emenda;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não cumprimento pela entidade beneficiária, dos requisitos estabelecidos na Seção V do Capítulo V desta Lei, no caso de emendas que proponham transferências de recursos sob a forma de subvenções, auxílios ou contribuições;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III -</w:t>
      </w:r>
      <w:proofErr w:type="gramStart"/>
      <w:r w:rsidRPr="007629B2">
        <w:rPr>
          <w:rFonts w:ascii="Arial" w:hAnsi="Arial" w:cs="Arial"/>
        </w:rPr>
        <w:t xml:space="preserve">  </w:t>
      </w:r>
      <w:proofErr w:type="gramEnd"/>
      <w:r w:rsidRPr="007629B2">
        <w:rPr>
          <w:rFonts w:ascii="Arial" w:hAnsi="Arial" w:cs="Arial"/>
        </w:rPr>
        <w:t>desistência expressa do autor da emenda;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incompatibilidade do objeto da emenda com a finalidade do programa ou da ação orçamentária emendada;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no caso de emendas relativas à execução de obras, incompatibilidade do valor proposto com o cronograma físico financeiro de execução do projeto;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a aprovação de emenda individual que conceda dotação para instalação ou funcionamento de serviço público que não esteja anteriormente criado por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a não indicação da Reserva de Contingência referida no art. 58 desta Lei como fonte de recursos para as emendas individuais;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os casos de impedimentos de ordem técnica que trata este artigo serão comunicados formalmente pelo Poder Executivo, observado o disposto no § 14 do art. 166 da Constituição.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As dotações orçamentárias relativas às emendas individuais que permanecerem com impedimento técnico após 10 de novembro de 2019 poderão ser utilizadas como fonte de recursos para a abertura de créditos adicionais, na forma da Lei Federal nº 4.320, de 1964.</w:t>
      </w:r>
    </w:p>
    <w:p w:rsidR="007629B2" w:rsidRPr="007629B2" w:rsidRDefault="007629B2" w:rsidP="00CF4D2A">
      <w:pPr>
        <w:spacing w:line="360" w:lineRule="auto"/>
        <w:ind w:firstLine="2268"/>
        <w:jc w:val="both"/>
        <w:rPr>
          <w:rFonts w:ascii="Arial" w:hAnsi="Arial" w:cs="Arial"/>
          <w:b/>
          <w:bCs/>
        </w:rPr>
      </w:pPr>
      <w:r w:rsidRPr="007629B2">
        <w:rPr>
          <w:rFonts w:ascii="Arial" w:hAnsi="Arial" w:cs="Arial"/>
        </w:rPr>
        <w:t>§ 3º Além do disposto nos inciso I a VII, o Poder Executivo poderá, mediante decreto, estabelecer critérios e procedimentos adicionais relacionados aos casos de impedimentos de ordem técnica</w:t>
      </w:r>
      <w:proofErr w:type="gramStart"/>
      <w:r w:rsidRPr="007629B2">
        <w:rPr>
          <w:rFonts w:ascii="Arial" w:hAnsi="Arial" w:cs="Arial"/>
        </w:rPr>
        <w:t xml:space="preserve">  </w:t>
      </w:r>
      <w:proofErr w:type="gramEnd"/>
      <w:r w:rsidRPr="007629B2">
        <w:rPr>
          <w:rFonts w:ascii="Arial" w:hAnsi="Arial" w:cs="Arial"/>
        </w:rPr>
        <w:t xml:space="preserve">que trata </w:t>
      </w:r>
      <w:r w:rsidRPr="007629B2">
        <w:rPr>
          <w:rFonts w:ascii="Arial" w:hAnsi="Arial" w:cs="Arial"/>
          <w:bCs/>
        </w:rPr>
        <w:t>o caput .</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60. Caberá à contabilidade do Município, através de </w:t>
      </w:r>
      <w:r w:rsidR="008928E2">
        <w:rPr>
          <w:rFonts w:ascii="Arial" w:hAnsi="Arial" w:cs="Arial"/>
        </w:rPr>
        <w:t>registros contábeis específicos,</w:t>
      </w:r>
      <w:r w:rsidRPr="007629B2">
        <w:rPr>
          <w:rFonts w:ascii="Arial" w:hAnsi="Arial" w:cs="Arial"/>
        </w:rPr>
        <w:t xml:space="preserve"> ou através de codificação</w:t>
      </w:r>
      <w:r w:rsidR="008928E2">
        <w:rPr>
          <w:rFonts w:ascii="Arial" w:hAnsi="Arial" w:cs="Arial"/>
        </w:rPr>
        <w:t>,</w:t>
      </w:r>
      <w:r w:rsidRPr="007629B2">
        <w:rPr>
          <w:rFonts w:ascii="Arial" w:hAnsi="Arial" w:cs="Arial"/>
        </w:rPr>
        <w:t xml:space="preserve"> a ser </w:t>
      </w:r>
      <w:r w:rsidR="00CF4D2A" w:rsidRPr="007629B2">
        <w:rPr>
          <w:rFonts w:ascii="Arial" w:hAnsi="Arial" w:cs="Arial"/>
        </w:rPr>
        <w:t>introduzido no sistema de execução financeira e orçamentária</w:t>
      </w:r>
      <w:r w:rsidRPr="007629B2">
        <w:rPr>
          <w:rFonts w:ascii="Arial" w:hAnsi="Arial" w:cs="Arial"/>
        </w:rPr>
        <w:t>, identificar e acompanhar a execução orçamentária da programação incluída ou acrescida mediante emendas de que trata esta Seção.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5" w:name="_Toc515609489"/>
      <w:r w:rsidRPr="007629B2">
        <w:rPr>
          <w:rFonts w:ascii="Arial" w:hAnsi="Arial" w:cs="Arial"/>
          <w:b/>
        </w:rPr>
        <w:lastRenderedPageBreak/>
        <w:t>Capítulo X - Das Disposições Gerais</w:t>
      </w:r>
      <w:bookmarkEnd w:id="15"/>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61.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Parágrafo único. A Lei Orçamentária anual, ou seus créditos adicionais, deverão contemplar recursos orçamentários suficientes para o atendimento das despesas de que trata 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62. As emendas ao projeto de lei orçamentária ou aos projetos de lei que a modifiquem deverão ser compatíveis com os programas e objetivos da Lei nº 1075/17</w:t>
      </w:r>
      <w:proofErr w:type="gramStart"/>
      <w:r w:rsidRPr="007629B2">
        <w:rPr>
          <w:rFonts w:ascii="Arial" w:hAnsi="Arial" w:cs="Arial"/>
        </w:rPr>
        <w:t xml:space="preserve">  </w:t>
      </w:r>
      <w:proofErr w:type="gramEnd"/>
      <w:r w:rsidRPr="007629B2">
        <w:rPr>
          <w:rFonts w:ascii="Arial" w:hAnsi="Arial" w:cs="Arial"/>
        </w:rPr>
        <w:t xml:space="preserve">Plano Plurianual 2018/2021 e com as diretrizes, disposições, prioridades e metas desta Lei.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Não serão admitidas, com a ressalva do inciso III do § 3º do art. 166 da Constituição Federal, as emendas que incidam sobre: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 pessoal e encargos sociais 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b) serviço da dívida.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Para fins do disposto no § 3º, inciso I, do art. 166 da Constituição, serão consideradas incompatíveis com 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as emendas que acarretem a aplicação de recursos abaixo dos limites constitucionais mínimos previstos para os gastos com a manutenção e desenvolvimento do ensino e com as ações e serviços públicos de saúde;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as emendas que não preservem as dotações destinadas ao pagamento de sentenças judiciais;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III – as emendas que reduzam o montante de dotações suportadas por recursos oriundos de transferências legais ou</w:t>
      </w:r>
      <w:proofErr w:type="gramStart"/>
      <w:r w:rsidRPr="007629B2">
        <w:rPr>
          <w:rFonts w:ascii="Arial" w:hAnsi="Arial" w:cs="Arial"/>
        </w:rPr>
        <w:t xml:space="preserve">  </w:t>
      </w:r>
      <w:proofErr w:type="gramEnd"/>
      <w:r w:rsidRPr="007629B2">
        <w:rPr>
          <w:rFonts w:ascii="Arial" w:hAnsi="Arial" w:cs="Arial"/>
        </w:rPr>
        <w:t>voluntárias da União e do Estado, alienação de bens e operações de crédito;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Para fins do disposto no art. 166, § 8º, da Constituição Federal, serão levados à reserva de contingência referida no inciso II do art. 14 os recursos que, em decorrência de veto, emenda ou rejeição do projeto da Lei Orçamentária Anual de 2019, ficarem sem despesas correspondentes.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4º O disposto neste artigo aplica-se no que couber às emendas sujeitas ao regime de execução de que trata o Capitulo IX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Art. 64. Em consonância com o que dispõe o § 5º do art. 166 da Constituição Federal e a Lei Orgânica Municipal, poderá o Prefeito enviar Mensagem à Câmara Municipal para propor modificações aos projetos de lei orçamentária enquanto não estiver concluída a votação da parte cuja alteração é proposta.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Art. 65. Se o projeto de lei orçamentária não for aprovado até 31 de dezembro de 2018,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Excetuam-se do disposto no </w:t>
      </w:r>
      <w:r w:rsidRPr="007629B2">
        <w:rPr>
          <w:rFonts w:ascii="Arial" w:hAnsi="Arial" w:cs="Arial"/>
          <w:i/>
        </w:rPr>
        <w:t>caput</w:t>
      </w:r>
      <w:r w:rsidRPr="007629B2">
        <w:rPr>
          <w:rFonts w:ascii="Arial" w:hAnsi="Arial" w:cs="Arial"/>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w:t>
      </w:r>
      <w:r w:rsidRPr="007629B2">
        <w:rPr>
          <w:rFonts w:ascii="Arial" w:hAnsi="Arial" w:cs="Arial"/>
        </w:rPr>
        <w:lastRenderedPageBreak/>
        <w:t>serão executadas segundo suas necessidades específicas e a efetiva disponibilidade de recursos.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Não será interrompido o processamento de despesas com obras em andamento.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66. Esta Lei entra em vigor na data de sua publicação.</w:t>
      </w:r>
    </w:p>
    <w:p w:rsidR="007629B2" w:rsidRPr="007629B2" w:rsidRDefault="007629B2" w:rsidP="00CF4D2A">
      <w:pPr>
        <w:spacing w:after="0" w:line="360" w:lineRule="auto"/>
        <w:ind w:firstLine="2268"/>
        <w:jc w:val="both"/>
        <w:rPr>
          <w:rFonts w:ascii="Arial" w:eastAsia="Times New Roman" w:hAnsi="Arial" w:cs="Arial"/>
          <w:b/>
          <w:bCs/>
          <w:kern w:val="16"/>
          <w:lang w:eastAsia="pt-BR"/>
        </w:rPr>
      </w:pPr>
    </w:p>
    <w:p w:rsidR="007629B2" w:rsidRPr="007629B2" w:rsidRDefault="007629B2" w:rsidP="008928E2">
      <w:pPr>
        <w:spacing w:after="0" w:line="360" w:lineRule="auto"/>
        <w:ind w:firstLine="2268"/>
        <w:jc w:val="right"/>
        <w:rPr>
          <w:rFonts w:ascii="Arial" w:eastAsia="Times New Roman" w:hAnsi="Arial" w:cs="Arial"/>
          <w:kern w:val="16"/>
          <w:lang w:eastAsia="pt-BR"/>
        </w:rPr>
      </w:pPr>
      <w:r w:rsidRPr="007629B2">
        <w:rPr>
          <w:rFonts w:ascii="Arial" w:eastAsia="Times New Roman" w:hAnsi="Arial" w:cs="Arial"/>
          <w:bCs/>
          <w:kern w:val="16"/>
          <w:lang w:eastAsia="pt-BR"/>
        </w:rPr>
        <w:t>JACUIZINHO/RS,</w:t>
      </w:r>
      <w:r w:rsidRPr="007629B2">
        <w:rPr>
          <w:rFonts w:ascii="Arial" w:eastAsia="Times New Roman" w:hAnsi="Arial" w:cs="Arial"/>
          <w:b/>
          <w:bCs/>
          <w:kern w:val="16"/>
          <w:lang w:eastAsia="pt-BR"/>
        </w:rPr>
        <w:t xml:space="preserve"> </w:t>
      </w:r>
      <w:r w:rsidRPr="007629B2">
        <w:rPr>
          <w:rFonts w:ascii="Arial" w:eastAsia="Times New Roman" w:hAnsi="Arial" w:cs="Arial"/>
          <w:bCs/>
          <w:kern w:val="16"/>
          <w:lang w:eastAsia="pt-BR"/>
        </w:rPr>
        <w:t>13</w:t>
      </w:r>
      <w:r w:rsidRPr="007629B2">
        <w:rPr>
          <w:rFonts w:ascii="Arial" w:eastAsia="Times New Roman" w:hAnsi="Arial" w:cs="Arial"/>
          <w:kern w:val="16"/>
          <w:lang w:eastAsia="pt-BR"/>
        </w:rPr>
        <w:t xml:space="preserve"> de Agosto de 2018.</w:t>
      </w:r>
    </w:p>
    <w:p w:rsidR="007629B2" w:rsidRPr="007629B2" w:rsidRDefault="007629B2" w:rsidP="00CF4D2A">
      <w:pPr>
        <w:spacing w:after="0" w:line="360" w:lineRule="auto"/>
        <w:ind w:firstLine="2268"/>
        <w:jc w:val="both"/>
        <w:rPr>
          <w:rFonts w:ascii="Arial" w:eastAsia="Times New Roman" w:hAnsi="Arial" w:cs="Arial"/>
          <w:kern w:val="16"/>
          <w:lang w:eastAsia="pt-BR"/>
        </w:rPr>
      </w:pPr>
    </w:p>
    <w:p w:rsidR="007629B2" w:rsidRPr="007629B2" w:rsidRDefault="007629B2" w:rsidP="00CF4D2A">
      <w:pPr>
        <w:spacing w:after="0" w:line="360" w:lineRule="auto"/>
        <w:ind w:firstLine="2268"/>
        <w:jc w:val="both"/>
        <w:rPr>
          <w:rFonts w:ascii="Arial" w:eastAsia="Times New Roman" w:hAnsi="Arial" w:cs="Arial"/>
          <w:kern w:val="16"/>
          <w:lang w:eastAsia="pt-BR"/>
        </w:rPr>
      </w:pPr>
    </w:p>
    <w:p w:rsidR="007629B2" w:rsidRPr="007629B2" w:rsidRDefault="007629B2" w:rsidP="00CF4D2A">
      <w:pPr>
        <w:spacing w:after="0" w:line="360" w:lineRule="auto"/>
        <w:ind w:firstLine="2268"/>
        <w:jc w:val="both"/>
        <w:rPr>
          <w:rFonts w:ascii="Arial" w:eastAsia="Times New Roman" w:hAnsi="Arial" w:cs="Arial"/>
          <w:kern w:val="16"/>
          <w:lang w:eastAsia="pt-BR"/>
        </w:rPr>
      </w:pPr>
    </w:p>
    <w:p w:rsidR="007629B2" w:rsidRPr="007629B2" w:rsidRDefault="007629B2" w:rsidP="008928E2">
      <w:pPr>
        <w:keepNext/>
        <w:spacing w:after="0" w:line="360" w:lineRule="auto"/>
        <w:ind w:firstLine="2268"/>
        <w:jc w:val="center"/>
        <w:outlineLvl w:val="0"/>
        <w:rPr>
          <w:rFonts w:ascii="Arial" w:eastAsia="Times New Roman" w:hAnsi="Arial" w:cs="Arial"/>
          <w:b/>
          <w:bCs/>
          <w:kern w:val="16"/>
          <w:lang w:val="es-ES_tradnl" w:eastAsia="pt-BR"/>
        </w:rPr>
      </w:pPr>
      <w:r w:rsidRPr="007629B2">
        <w:rPr>
          <w:rFonts w:ascii="Arial" w:eastAsia="Times New Roman" w:hAnsi="Arial" w:cs="Arial"/>
          <w:b/>
          <w:bCs/>
          <w:kern w:val="16"/>
          <w:lang w:val="es-ES_tradnl" w:eastAsia="pt-BR"/>
        </w:rPr>
        <w:t>VOLMIR PEDRO CAPITÂNIO</w:t>
      </w:r>
    </w:p>
    <w:p w:rsidR="007629B2" w:rsidRDefault="007629B2" w:rsidP="008928E2">
      <w:pPr>
        <w:spacing w:after="0" w:line="360" w:lineRule="auto"/>
        <w:ind w:firstLine="2268"/>
        <w:jc w:val="center"/>
        <w:rPr>
          <w:rFonts w:ascii="Arial" w:eastAsia="Times New Roman" w:hAnsi="Arial" w:cs="Arial"/>
          <w:kern w:val="16"/>
          <w:lang w:eastAsia="pt-BR"/>
        </w:rPr>
      </w:pPr>
      <w:r w:rsidRPr="007629B2">
        <w:rPr>
          <w:rFonts w:ascii="Arial" w:eastAsia="Times New Roman" w:hAnsi="Arial" w:cs="Arial"/>
          <w:kern w:val="16"/>
          <w:lang w:eastAsia="pt-BR"/>
        </w:rPr>
        <w:t>Prefeito Municipal</w:t>
      </w: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6B610F">
      <w:pPr>
        <w:spacing w:after="0" w:line="360" w:lineRule="auto"/>
        <w:ind w:firstLine="2268"/>
        <w:rPr>
          <w:rFonts w:ascii="Arial" w:eastAsia="Times New Roman" w:hAnsi="Arial" w:cs="Arial"/>
          <w:b/>
          <w:kern w:val="16"/>
          <w:lang w:eastAsia="pt-BR"/>
        </w:rPr>
      </w:pPr>
      <w:r w:rsidRPr="006B610F">
        <w:rPr>
          <w:rFonts w:ascii="Arial" w:eastAsia="Times New Roman" w:hAnsi="Arial" w:cs="Arial"/>
          <w:b/>
          <w:kern w:val="16"/>
          <w:lang w:eastAsia="pt-BR"/>
        </w:rPr>
        <w:lastRenderedPageBreak/>
        <w:t>MENSAGEM JUSTIFICATIVA</w:t>
      </w:r>
    </w:p>
    <w:p w:rsidR="006B610F" w:rsidRDefault="006B610F" w:rsidP="006B610F">
      <w:pPr>
        <w:spacing w:after="0" w:line="360" w:lineRule="auto"/>
        <w:ind w:firstLine="2268"/>
        <w:rPr>
          <w:rFonts w:ascii="Arial" w:eastAsia="Times New Roman" w:hAnsi="Arial" w:cs="Arial"/>
          <w:b/>
          <w:kern w:val="16"/>
          <w:lang w:eastAsia="pt-BR"/>
        </w:rPr>
      </w:pPr>
    </w:p>
    <w:p w:rsidR="006B610F" w:rsidRDefault="006B610F" w:rsidP="006B610F">
      <w:pPr>
        <w:spacing w:after="0" w:line="360" w:lineRule="auto"/>
        <w:ind w:firstLine="2268"/>
        <w:rPr>
          <w:rFonts w:ascii="Arial" w:eastAsia="Times New Roman" w:hAnsi="Arial" w:cs="Arial"/>
          <w:b/>
          <w:kern w:val="16"/>
          <w:lang w:eastAsia="pt-BR"/>
        </w:rPr>
      </w:pPr>
    </w:p>
    <w:p w:rsidR="006B610F" w:rsidRPr="006B610F" w:rsidRDefault="006B610F" w:rsidP="006B610F">
      <w:pPr>
        <w:spacing w:after="0" w:line="360" w:lineRule="auto"/>
        <w:ind w:firstLine="2268"/>
        <w:rPr>
          <w:rFonts w:ascii="Arial" w:eastAsia="Times New Roman" w:hAnsi="Arial" w:cs="Arial"/>
          <w:kern w:val="16"/>
          <w:lang w:eastAsia="pt-BR"/>
        </w:rPr>
      </w:pPr>
      <w:r w:rsidRPr="006B610F">
        <w:rPr>
          <w:rFonts w:ascii="Arial" w:eastAsia="Times New Roman" w:hAnsi="Arial" w:cs="Arial"/>
          <w:kern w:val="16"/>
          <w:lang w:eastAsia="pt-BR"/>
        </w:rPr>
        <w:t>Colendo plenário!</w:t>
      </w:r>
    </w:p>
    <w:p w:rsidR="006B610F" w:rsidRDefault="006B610F" w:rsidP="006B610F">
      <w:pPr>
        <w:spacing w:after="0" w:line="360" w:lineRule="auto"/>
        <w:ind w:firstLine="2268"/>
        <w:rPr>
          <w:rFonts w:ascii="Arial" w:eastAsia="Times New Roman" w:hAnsi="Arial" w:cs="Arial"/>
          <w:kern w:val="16"/>
          <w:lang w:eastAsia="pt-BR"/>
        </w:rPr>
      </w:pPr>
      <w:r w:rsidRPr="006B610F">
        <w:rPr>
          <w:rFonts w:ascii="Arial" w:eastAsia="Times New Roman" w:hAnsi="Arial" w:cs="Arial"/>
          <w:kern w:val="16"/>
          <w:lang w:eastAsia="pt-BR"/>
        </w:rPr>
        <w:t xml:space="preserve">Nobres </w:t>
      </w:r>
      <w:proofErr w:type="gramStart"/>
      <w:r w:rsidRPr="006B610F">
        <w:rPr>
          <w:rFonts w:ascii="Arial" w:eastAsia="Times New Roman" w:hAnsi="Arial" w:cs="Arial"/>
          <w:kern w:val="16"/>
          <w:lang w:eastAsia="pt-BR"/>
        </w:rPr>
        <w:t>Edis</w:t>
      </w:r>
      <w:proofErr w:type="gramEnd"/>
      <w:r w:rsidRPr="006B610F">
        <w:rPr>
          <w:rFonts w:ascii="Arial" w:eastAsia="Times New Roman" w:hAnsi="Arial" w:cs="Arial"/>
          <w:kern w:val="16"/>
          <w:lang w:eastAsia="pt-BR"/>
        </w:rPr>
        <w:t>!</w:t>
      </w:r>
    </w:p>
    <w:p w:rsidR="006B610F" w:rsidRDefault="006B610F" w:rsidP="006B610F">
      <w:pPr>
        <w:spacing w:after="0" w:line="360" w:lineRule="auto"/>
        <w:ind w:firstLine="2268"/>
        <w:rPr>
          <w:rFonts w:ascii="Arial" w:eastAsia="Times New Roman" w:hAnsi="Arial" w:cs="Arial"/>
          <w:kern w:val="16"/>
          <w:lang w:eastAsia="pt-BR"/>
        </w:rPr>
      </w:pPr>
    </w:p>
    <w:p w:rsidR="006B610F" w:rsidRDefault="006924A5" w:rsidP="006B610F">
      <w:pPr>
        <w:spacing w:after="0" w:line="360" w:lineRule="auto"/>
        <w:ind w:firstLine="2268"/>
        <w:jc w:val="both"/>
        <w:rPr>
          <w:rFonts w:ascii="Arial" w:eastAsia="Times New Roman" w:hAnsi="Arial" w:cs="Arial"/>
          <w:kern w:val="16"/>
          <w:lang w:eastAsia="pt-BR"/>
        </w:rPr>
      </w:pPr>
      <w:r>
        <w:rPr>
          <w:rFonts w:ascii="Arial" w:eastAsia="Times New Roman" w:hAnsi="Arial" w:cs="Arial"/>
          <w:kern w:val="16"/>
          <w:lang w:eastAsia="pt-BR"/>
        </w:rPr>
        <w:t>Cumpre encaminhar o</w:t>
      </w:r>
      <w:r w:rsidR="006B610F">
        <w:rPr>
          <w:rFonts w:ascii="Arial" w:eastAsia="Times New Roman" w:hAnsi="Arial" w:cs="Arial"/>
          <w:kern w:val="16"/>
          <w:lang w:eastAsia="pt-BR"/>
        </w:rPr>
        <w:t xml:space="preserve"> presente projeto de lei trata da Lei de Diretrizes Orçamentárias</w:t>
      </w:r>
      <w:r w:rsidR="00755463">
        <w:rPr>
          <w:rFonts w:ascii="Arial" w:eastAsia="Times New Roman" w:hAnsi="Arial" w:cs="Arial"/>
          <w:kern w:val="16"/>
          <w:lang w:eastAsia="pt-BR"/>
        </w:rPr>
        <w:t xml:space="preserve"> para o exercício financeiro do ano de 2019</w:t>
      </w:r>
      <w:r w:rsidR="006B610F">
        <w:rPr>
          <w:rFonts w:ascii="Arial" w:eastAsia="Times New Roman" w:hAnsi="Arial" w:cs="Arial"/>
          <w:kern w:val="16"/>
          <w:lang w:eastAsia="pt-BR"/>
        </w:rPr>
        <w:t>, cuja</w:t>
      </w:r>
      <w:proofErr w:type="gramStart"/>
      <w:r w:rsidR="006B610F">
        <w:rPr>
          <w:rFonts w:ascii="Arial" w:eastAsia="Times New Roman" w:hAnsi="Arial" w:cs="Arial"/>
          <w:kern w:val="16"/>
          <w:lang w:eastAsia="pt-BR"/>
        </w:rPr>
        <w:t xml:space="preserve">  </w:t>
      </w:r>
      <w:proofErr w:type="gramEnd"/>
      <w:r w:rsidR="006B610F">
        <w:rPr>
          <w:rFonts w:ascii="Arial" w:eastAsia="Times New Roman" w:hAnsi="Arial" w:cs="Arial"/>
          <w:kern w:val="16"/>
          <w:lang w:eastAsia="pt-BR"/>
        </w:rPr>
        <w:t>iniciativa  é  do Poder Executivo</w:t>
      </w:r>
      <w:r>
        <w:rPr>
          <w:rFonts w:ascii="Arial" w:eastAsia="Times New Roman" w:hAnsi="Arial" w:cs="Arial"/>
          <w:kern w:val="16"/>
          <w:lang w:eastAsia="pt-BR"/>
        </w:rPr>
        <w:t xml:space="preserve"> nos termos do art. 115</w:t>
      </w:r>
      <w:r w:rsidR="006B610F">
        <w:rPr>
          <w:rFonts w:ascii="Arial" w:eastAsia="Times New Roman" w:hAnsi="Arial" w:cs="Arial"/>
          <w:kern w:val="16"/>
          <w:lang w:eastAsia="pt-BR"/>
        </w:rPr>
        <w:t>, inciso II da Lei Orgânica municipal</w:t>
      </w:r>
      <w:r>
        <w:rPr>
          <w:rFonts w:ascii="Arial" w:eastAsia="Times New Roman" w:hAnsi="Arial" w:cs="Arial"/>
          <w:kern w:val="16"/>
          <w:lang w:eastAsia="pt-BR"/>
        </w:rPr>
        <w:t>.</w:t>
      </w:r>
    </w:p>
    <w:p w:rsidR="006924A5" w:rsidRDefault="006924A5" w:rsidP="006B610F">
      <w:pPr>
        <w:spacing w:after="0" w:line="360" w:lineRule="auto"/>
        <w:ind w:firstLine="2268"/>
        <w:jc w:val="both"/>
        <w:rPr>
          <w:rFonts w:ascii="Arial" w:eastAsia="Times New Roman" w:hAnsi="Arial" w:cs="Arial"/>
          <w:kern w:val="16"/>
          <w:lang w:eastAsia="pt-BR"/>
        </w:rPr>
      </w:pPr>
      <w:r>
        <w:rPr>
          <w:rFonts w:ascii="Arial" w:eastAsia="Times New Roman" w:hAnsi="Arial" w:cs="Arial"/>
          <w:kern w:val="16"/>
          <w:lang w:eastAsia="pt-BR"/>
        </w:rPr>
        <w:t>Assim, nos termos da NR dada pela</w:t>
      </w:r>
      <w:proofErr w:type="gramStart"/>
      <w:r>
        <w:rPr>
          <w:rFonts w:ascii="Arial" w:eastAsia="Times New Roman" w:hAnsi="Arial" w:cs="Arial"/>
          <w:kern w:val="16"/>
          <w:lang w:eastAsia="pt-BR"/>
        </w:rPr>
        <w:t xml:space="preserve">  </w:t>
      </w:r>
      <w:proofErr w:type="gramEnd"/>
      <w:r>
        <w:rPr>
          <w:rFonts w:ascii="Arial" w:eastAsia="Times New Roman" w:hAnsi="Arial" w:cs="Arial"/>
          <w:kern w:val="16"/>
          <w:lang w:eastAsia="pt-BR"/>
        </w:rPr>
        <w:t>Emenda a Lei Orgânica  002/2017, de 1º de agosto de 2017,  ao art. 118, , inciso II, do mencionado diploma; após o cumprimento  de divulgação e  discussão em audiência pública, a qual resta devidamente lavrada em ata, encaminhamos o projeto de Lei nº 024/2018, de 13 de agosto de 2018 para que</w:t>
      </w:r>
      <w:r w:rsidR="00755463">
        <w:rPr>
          <w:rFonts w:ascii="Arial" w:eastAsia="Times New Roman" w:hAnsi="Arial" w:cs="Arial"/>
          <w:kern w:val="16"/>
          <w:lang w:eastAsia="pt-BR"/>
        </w:rPr>
        <w:t>,</w:t>
      </w:r>
      <w:r>
        <w:rPr>
          <w:rFonts w:ascii="Arial" w:eastAsia="Times New Roman" w:hAnsi="Arial" w:cs="Arial"/>
          <w:kern w:val="16"/>
          <w:lang w:eastAsia="pt-BR"/>
        </w:rPr>
        <w:t xml:space="preserve"> após a devida apreciação desse colendo plenário</w:t>
      </w:r>
      <w:r w:rsidR="00755463">
        <w:rPr>
          <w:rFonts w:ascii="Arial" w:eastAsia="Times New Roman" w:hAnsi="Arial" w:cs="Arial"/>
          <w:kern w:val="16"/>
          <w:lang w:eastAsia="pt-BR"/>
        </w:rPr>
        <w:t>,</w:t>
      </w:r>
      <w:r>
        <w:rPr>
          <w:rFonts w:ascii="Arial" w:eastAsia="Times New Roman" w:hAnsi="Arial" w:cs="Arial"/>
          <w:kern w:val="16"/>
          <w:lang w:eastAsia="pt-BR"/>
        </w:rPr>
        <w:t xml:space="preserve"> seja colocada em votação nos termos do Regimento Interno da Câmara Municipal de Vereadores de Jacuizinho-RS.</w:t>
      </w:r>
    </w:p>
    <w:p w:rsidR="006924A5" w:rsidRDefault="006924A5" w:rsidP="006B610F">
      <w:pPr>
        <w:spacing w:after="0" w:line="360" w:lineRule="auto"/>
        <w:ind w:firstLine="2268"/>
        <w:jc w:val="both"/>
        <w:rPr>
          <w:rFonts w:ascii="Arial" w:eastAsia="Times New Roman" w:hAnsi="Arial" w:cs="Arial"/>
          <w:kern w:val="16"/>
          <w:lang w:eastAsia="pt-BR"/>
        </w:rPr>
      </w:pPr>
      <w:r>
        <w:rPr>
          <w:rFonts w:ascii="Arial" w:eastAsia="Times New Roman" w:hAnsi="Arial" w:cs="Arial"/>
          <w:kern w:val="16"/>
          <w:lang w:eastAsia="pt-BR"/>
        </w:rPr>
        <w:t>Sendo estas</w:t>
      </w:r>
      <w:r w:rsidR="00755463">
        <w:rPr>
          <w:rFonts w:ascii="Arial" w:eastAsia="Times New Roman" w:hAnsi="Arial" w:cs="Arial"/>
          <w:kern w:val="16"/>
          <w:lang w:eastAsia="pt-BR"/>
        </w:rPr>
        <w:t xml:space="preserve"> excelentíssimos vereadores</w:t>
      </w:r>
      <w:r>
        <w:rPr>
          <w:rFonts w:ascii="Arial" w:eastAsia="Times New Roman" w:hAnsi="Arial" w:cs="Arial"/>
          <w:kern w:val="16"/>
          <w:lang w:eastAsia="pt-BR"/>
        </w:rPr>
        <w:t xml:space="preserve"> </w:t>
      </w:r>
      <w:proofErr w:type="gramStart"/>
      <w:r>
        <w:rPr>
          <w:rFonts w:ascii="Arial" w:eastAsia="Times New Roman" w:hAnsi="Arial" w:cs="Arial"/>
          <w:kern w:val="16"/>
          <w:lang w:eastAsia="pt-BR"/>
        </w:rPr>
        <w:t>as razões de encaminhamento do presente projeto</w:t>
      </w:r>
      <w:proofErr w:type="gramEnd"/>
      <w:r>
        <w:rPr>
          <w:rFonts w:ascii="Arial" w:eastAsia="Times New Roman" w:hAnsi="Arial" w:cs="Arial"/>
          <w:kern w:val="16"/>
          <w:lang w:eastAsia="pt-BR"/>
        </w:rPr>
        <w:t xml:space="preserve"> de Lei</w:t>
      </w:r>
      <w:r w:rsidR="00755463">
        <w:rPr>
          <w:rFonts w:ascii="Arial" w:eastAsia="Times New Roman" w:hAnsi="Arial" w:cs="Arial"/>
          <w:kern w:val="16"/>
          <w:lang w:eastAsia="pt-BR"/>
        </w:rPr>
        <w:t>,</w:t>
      </w:r>
      <w:r>
        <w:rPr>
          <w:rFonts w:ascii="Arial" w:eastAsia="Times New Roman" w:hAnsi="Arial" w:cs="Arial"/>
          <w:kern w:val="16"/>
          <w:lang w:eastAsia="pt-BR"/>
        </w:rPr>
        <w:t xml:space="preserve"> uma vez que referido</w:t>
      </w:r>
      <w:r w:rsidR="00755463">
        <w:rPr>
          <w:rFonts w:ascii="Arial" w:eastAsia="Times New Roman" w:hAnsi="Arial" w:cs="Arial"/>
          <w:kern w:val="16"/>
          <w:lang w:eastAsia="pt-BR"/>
        </w:rPr>
        <w:t xml:space="preserve"> projeto visa</w:t>
      </w:r>
      <w:r>
        <w:rPr>
          <w:rFonts w:ascii="Arial" w:eastAsia="Times New Roman" w:hAnsi="Arial" w:cs="Arial"/>
          <w:kern w:val="16"/>
          <w:lang w:eastAsia="pt-BR"/>
        </w:rPr>
        <w:t xml:space="preserve"> </w:t>
      </w:r>
      <w:r w:rsidR="00755463">
        <w:rPr>
          <w:rFonts w:ascii="Arial" w:eastAsia="Times New Roman" w:hAnsi="Arial" w:cs="Arial"/>
          <w:kern w:val="16"/>
          <w:lang w:eastAsia="pt-BR"/>
        </w:rPr>
        <w:t>orientar</w:t>
      </w:r>
      <w:r>
        <w:rPr>
          <w:rFonts w:ascii="Arial" w:eastAsia="Times New Roman" w:hAnsi="Arial" w:cs="Arial"/>
          <w:kern w:val="16"/>
          <w:lang w:eastAsia="pt-BR"/>
        </w:rPr>
        <w:t xml:space="preserve"> as Diretrizes para elaboraç</w:t>
      </w:r>
      <w:r w:rsidR="00755463">
        <w:rPr>
          <w:rFonts w:ascii="Arial" w:eastAsia="Times New Roman" w:hAnsi="Arial" w:cs="Arial"/>
          <w:kern w:val="16"/>
          <w:lang w:eastAsia="pt-BR"/>
        </w:rPr>
        <w:t xml:space="preserve">ão do Orçamento Anual  exercício financeiro de </w:t>
      </w:r>
      <w:r>
        <w:rPr>
          <w:rFonts w:ascii="Arial" w:eastAsia="Times New Roman" w:hAnsi="Arial" w:cs="Arial"/>
          <w:kern w:val="16"/>
          <w:lang w:eastAsia="pt-BR"/>
        </w:rPr>
        <w:t xml:space="preserve"> 2019.</w:t>
      </w:r>
    </w:p>
    <w:p w:rsidR="00755463" w:rsidRDefault="00755463" w:rsidP="006B610F">
      <w:pPr>
        <w:spacing w:after="0" w:line="360" w:lineRule="auto"/>
        <w:ind w:firstLine="2268"/>
        <w:jc w:val="both"/>
        <w:rPr>
          <w:rFonts w:ascii="Arial" w:eastAsia="Times New Roman" w:hAnsi="Arial" w:cs="Arial"/>
          <w:kern w:val="16"/>
          <w:lang w:eastAsia="pt-BR"/>
        </w:rPr>
      </w:pPr>
    </w:p>
    <w:p w:rsidR="00755463" w:rsidRDefault="00755463" w:rsidP="006B610F">
      <w:pPr>
        <w:spacing w:after="0" w:line="360" w:lineRule="auto"/>
        <w:ind w:firstLine="2268"/>
        <w:jc w:val="both"/>
        <w:rPr>
          <w:rFonts w:ascii="Arial" w:eastAsia="Times New Roman" w:hAnsi="Arial" w:cs="Arial"/>
          <w:kern w:val="16"/>
          <w:lang w:eastAsia="pt-BR"/>
        </w:rPr>
      </w:pPr>
      <w:r>
        <w:rPr>
          <w:rFonts w:ascii="Arial" w:eastAsia="Times New Roman" w:hAnsi="Arial" w:cs="Arial"/>
          <w:kern w:val="16"/>
          <w:lang w:eastAsia="pt-BR"/>
        </w:rPr>
        <w:t>Á disposição para eventuais esclarecimentos adicionais.</w:t>
      </w:r>
    </w:p>
    <w:p w:rsidR="00755463" w:rsidRDefault="00755463" w:rsidP="006B610F">
      <w:pPr>
        <w:spacing w:after="0" w:line="360" w:lineRule="auto"/>
        <w:ind w:firstLine="2268"/>
        <w:jc w:val="both"/>
        <w:rPr>
          <w:rFonts w:ascii="Arial" w:eastAsia="Times New Roman" w:hAnsi="Arial" w:cs="Arial"/>
          <w:kern w:val="16"/>
          <w:lang w:eastAsia="pt-BR"/>
        </w:rPr>
      </w:pPr>
    </w:p>
    <w:p w:rsidR="00755463" w:rsidRDefault="00755463" w:rsidP="006B610F">
      <w:pPr>
        <w:spacing w:after="0" w:line="360" w:lineRule="auto"/>
        <w:ind w:firstLine="2268"/>
        <w:jc w:val="both"/>
        <w:rPr>
          <w:rFonts w:ascii="Arial" w:eastAsia="Times New Roman" w:hAnsi="Arial" w:cs="Arial"/>
          <w:kern w:val="16"/>
          <w:lang w:eastAsia="pt-BR"/>
        </w:rPr>
      </w:pPr>
      <w:r>
        <w:rPr>
          <w:rFonts w:ascii="Arial" w:eastAsia="Times New Roman" w:hAnsi="Arial" w:cs="Arial"/>
          <w:kern w:val="16"/>
          <w:lang w:eastAsia="pt-BR"/>
        </w:rPr>
        <w:t>Jacuizinho, 13 de agosto de 2018.</w:t>
      </w:r>
    </w:p>
    <w:p w:rsidR="00755463" w:rsidRDefault="00755463" w:rsidP="006B610F">
      <w:pPr>
        <w:spacing w:after="0" w:line="360" w:lineRule="auto"/>
        <w:ind w:firstLine="2268"/>
        <w:jc w:val="both"/>
        <w:rPr>
          <w:rFonts w:ascii="Arial" w:eastAsia="Times New Roman" w:hAnsi="Arial" w:cs="Arial"/>
          <w:kern w:val="16"/>
          <w:lang w:eastAsia="pt-BR"/>
        </w:rPr>
      </w:pPr>
    </w:p>
    <w:p w:rsidR="00755463" w:rsidRDefault="00755463" w:rsidP="006B610F">
      <w:pPr>
        <w:spacing w:after="0" w:line="360" w:lineRule="auto"/>
        <w:ind w:firstLine="2268"/>
        <w:jc w:val="both"/>
        <w:rPr>
          <w:rFonts w:ascii="Arial" w:eastAsia="Times New Roman" w:hAnsi="Arial" w:cs="Arial"/>
          <w:kern w:val="16"/>
          <w:lang w:eastAsia="pt-BR"/>
        </w:rPr>
      </w:pPr>
    </w:p>
    <w:p w:rsidR="00755463" w:rsidRPr="007629B2" w:rsidRDefault="00755463" w:rsidP="00755463">
      <w:pPr>
        <w:spacing w:after="0" w:line="360" w:lineRule="auto"/>
        <w:ind w:firstLine="2268"/>
        <w:jc w:val="both"/>
        <w:rPr>
          <w:rFonts w:ascii="Arial" w:eastAsia="Times New Roman" w:hAnsi="Arial" w:cs="Arial"/>
          <w:kern w:val="16"/>
          <w:lang w:eastAsia="pt-BR"/>
        </w:rPr>
      </w:pPr>
    </w:p>
    <w:p w:rsidR="00755463" w:rsidRPr="007629B2" w:rsidRDefault="00755463" w:rsidP="00755463">
      <w:pPr>
        <w:keepNext/>
        <w:spacing w:after="0" w:line="360" w:lineRule="auto"/>
        <w:ind w:firstLine="2268"/>
        <w:jc w:val="center"/>
        <w:outlineLvl w:val="0"/>
        <w:rPr>
          <w:rFonts w:ascii="Arial" w:eastAsia="Times New Roman" w:hAnsi="Arial" w:cs="Arial"/>
          <w:b/>
          <w:bCs/>
          <w:kern w:val="16"/>
          <w:lang w:val="es-ES_tradnl" w:eastAsia="pt-BR"/>
        </w:rPr>
      </w:pPr>
      <w:r w:rsidRPr="007629B2">
        <w:rPr>
          <w:rFonts w:ascii="Arial" w:eastAsia="Times New Roman" w:hAnsi="Arial" w:cs="Arial"/>
          <w:b/>
          <w:bCs/>
          <w:kern w:val="16"/>
          <w:lang w:val="es-ES_tradnl" w:eastAsia="pt-BR"/>
        </w:rPr>
        <w:t>VOLMIR PEDRO CAPITÂNIO</w:t>
      </w:r>
    </w:p>
    <w:p w:rsidR="00755463" w:rsidRDefault="00755463" w:rsidP="00755463">
      <w:pPr>
        <w:spacing w:after="0" w:line="360" w:lineRule="auto"/>
        <w:ind w:firstLine="2268"/>
        <w:jc w:val="center"/>
        <w:rPr>
          <w:rFonts w:ascii="Arial" w:eastAsia="Times New Roman" w:hAnsi="Arial" w:cs="Arial"/>
          <w:kern w:val="16"/>
          <w:lang w:eastAsia="pt-BR"/>
        </w:rPr>
      </w:pPr>
      <w:r w:rsidRPr="007629B2">
        <w:rPr>
          <w:rFonts w:ascii="Arial" w:eastAsia="Times New Roman" w:hAnsi="Arial" w:cs="Arial"/>
          <w:kern w:val="16"/>
          <w:lang w:eastAsia="pt-BR"/>
        </w:rPr>
        <w:t>Prefeito Municipal</w:t>
      </w:r>
    </w:p>
    <w:p w:rsidR="00755463" w:rsidRDefault="00755463" w:rsidP="00755463">
      <w:pPr>
        <w:spacing w:after="0" w:line="360" w:lineRule="auto"/>
        <w:ind w:firstLine="2268"/>
        <w:jc w:val="center"/>
        <w:rPr>
          <w:rFonts w:ascii="Arial" w:eastAsia="Times New Roman" w:hAnsi="Arial" w:cs="Arial"/>
          <w:kern w:val="16"/>
          <w:lang w:eastAsia="pt-BR"/>
        </w:rPr>
      </w:pPr>
    </w:p>
    <w:p w:rsidR="00755463" w:rsidRPr="006B610F" w:rsidRDefault="00755463" w:rsidP="006B610F">
      <w:pPr>
        <w:spacing w:after="0" w:line="360" w:lineRule="auto"/>
        <w:ind w:firstLine="2268"/>
        <w:jc w:val="both"/>
        <w:rPr>
          <w:rFonts w:ascii="Arial" w:eastAsia="Times New Roman" w:hAnsi="Arial" w:cs="Arial"/>
          <w:kern w:val="16"/>
          <w:lang w:eastAsia="pt-BR"/>
        </w:rPr>
      </w:pPr>
      <w:bookmarkStart w:id="16" w:name="_GoBack"/>
      <w:bookmarkEnd w:id="16"/>
    </w:p>
    <w:sectPr w:rsidR="00755463" w:rsidRPr="006B610F" w:rsidSect="00CF4D2A">
      <w:headerReference w:type="even" r:id="rId7"/>
      <w:headerReference w:type="default" r:id="rId8"/>
      <w:footerReference w:type="even" r:id="rId9"/>
      <w:footerReference w:type="default" r:id="rId10"/>
      <w:headerReference w:type="first" r:id="rId11"/>
      <w:footerReference w:type="first" r:id="rId12"/>
      <w:pgSz w:w="11906" w:h="16838"/>
      <w:pgMar w:top="283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0D" w:rsidRDefault="0031600D" w:rsidP="002E06AA">
      <w:pPr>
        <w:spacing w:after="0" w:line="240" w:lineRule="auto"/>
      </w:pPr>
      <w:r>
        <w:separator/>
      </w:r>
    </w:p>
  </w:endnote>
  <w:endnote w:type="continuationSeparator" w:id="0">
    <w:p w:rsidR="0031600D" w:rsidRDefault="0031600D" w:rsidP="002E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0D" w:rsidRDefault="0031600D" w:rsidP="002E06AA">
      <w:pPr>
        <w:spacing w:after="0" w:line="240" w:lineRule="auto"/>
      </w:pPr>
      <w:r>
        <w:separator/>
      </w:r>
    </w:p>
  </w:footnote>
  <w:footnote w:type="continuationSeparator" w:id="0">
    <w:p w:rsidR="0031600D" w:rsidRDefault="0031600D" w:rsidP="002E0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25432"/>
      <w:docPartObj>
        <w:docPartGallery w:val="Page Numbers (Top of Page)"/>
        <w:docPartUnique/>
      </w:docPartObj>
    </w:sdtPr>
    <w:sdtEndPr/>
    <w:sdtContent>
      <w:p w:rsidR="002E06AA" w:rsidRDefault="002E06AA">
        <w:pPr>
          <w:pStyle w:val="Cabealho"/>
          <w:jc w:val="right"/>
        </w:pPr>
        <w:r>
          <w:fldChar w:fldCharType="begin"/>
        </w:r>
        <w:r>
          <w:instrText>PAGE   \* MERGEFORMAT</w:instrText>
        </w:r>
        <w:r>
          <w:fldChar w:fldCharType="separate"/>
        </w:r>
        <w:r w:rsidR="00755463">
          <w:rPr>
            <w:noProof/>
          </w:rPr>
          <w:t>41</w:t>
        </w:r>
        <w:r>
          <w:fldChar w:fldCharType="end"/>
        </w:r>
      </w:p>
    </w:sdtContent>
  </w:sdt>
  <w:p w:rsidR="002E06AA" w:rsidRDefault="002E06A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DE"/>
    <w:rsid w:val="0002091D"/>
    <w:rsid w:val="000B34DE"/>
    <w:rsid w:val="002620F8"/>
    <w:rsid w:val="002E06AA"/>
    <w:rsid w:val="0031600D"/>
    <w:rsid w:val="00340288"/>
    <w:rsid w:val="0042530D"/>
    <w:rsid w:val="00542B3E"/>
    <w:rsid w:val="005A7D7C"/>
    <w:rsid w:val="006924A5"/>
    <w:rsid w:val="006B610F"/>
    <w:rsid w:val="00755463"/>
    <w:rsid w:val="00757108"/>
    <w:rsid w:val="007629B2"/>
    <w:rsid w:val="007B3209"/>
    <w:rsid w:val="008928E2"/>
    <w:rsid w:val="008D4E1A"/>
    <w:rsid w:val="00CF4D2A"/>
    <w:rsid w:val="00D82061"/>
    <w:rsid w:val="00DB7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uiPriority w:val="99"/>
    <w:rsid w:val="007629B2"/>
  </w:style>
  <w:style w:type="paragraph" w:styleId="Textodebalo">
    <w:name w:val="Balloon Text"/>
    <w:basedOn w:val="Normal"/>
    <w:link w:val="TextodebaloChar"/>
    <w:uiPriority w:val="99"/>
    <w:semiHidden/>
    <w:unhideWhenUsed/>
    <w:rsid w:val="002E06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06AA"/>
    <w:rPr>
      <w:rFonts w:ascii="Tahoma" w:hAnsi="Tahoma" w:cs="Tahoma"/>
      <w:sz w:val="16"/>
      <w:szCs w:val="16"/>
    </w:rPr>
  </w:style>
  <w:style w:type="paragraph" w:styleId="Cabealho">
    <w:name w:val="header"/>
    <w:basedOn w:val="Normal"/>
    <w:link w:val="CabealhoChar"/>
    <w:uiPriority w:val="99"/>
    <w:unhideWhenUsed/>
    <w:rsid w:val="002E06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06AA"/>
  </w:style>
  <w:style w:type="paragraph" w:styleId="Rodap">
    <w:name w:val="footer"/>
    <w:basedOn w:val="Normal"/>
    <w:link w:val="RodapChar"/>
    <w:uiPriority w:val="99"/>
    <w:unhideWhenUsed/>
    <w:rsid w:val="002E06AA"/>
    <w:pPr>
      <w:tabs>
        <w:tab w:val="center" w:pos="4252"/>
        <w:tab w:val="right" w:pos="8504"/>
      </w:tabs>
      <w:spacing w:after="0" w:line="240" w:lineRule="auto"/>
    </w:pPr>
  </w:style>
  <w:style w:type="character" w:customStyle="1" w:styleId="RodapChar">
    <w:name w:val="Rodapé Char"/>
    <w:basedOn w:val="Fontepargpadro"/>
    <w:link w:val="Rodap"/>
    <w:uiPriority w:val="99"/>
    <w:rsid w:val="002E0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uiPriority w:val="99"/>
    <w:rsid w:val="007629B2"/>
  </w:style>
  <w:style w:type="paragraph" w:styleId="Textodebalo">
    <w:name w:val="Balloon Text"/>
    <w:basedOn w:val="Normal"/>
    <w:link w:val="TextodebaloChar"/>
    <w:uiPriority w:val="99"/>
    <w:semiHidden/>
    <w:unhideWhenUsed/>
    <w:rsid w:val="002E06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06AA"/>
    <w:rPr>
      <w:rFonts w:ascii="Tahoma" w:hAnsi="Tahoma" w:cs="Tahoma"/>
      <w:sz w:val="16"/>
      <w:szCs w:val="16"/>
    </w:rPr>
  </w:style>
  <w:style w:type="paragraph" w:styleId="Cabealho">
    <w:name w:val="header"/>
    <w:basedOn w:val="Normal"/>
    <w:link w:val="CabealhoChar"/>
    <w:uiPriority w:val="99"/>
    <w:unhideWhenUsed/>
    <w:rsid w:val="002E06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06AA"/>
  </w:style>
  <w:style w:type="paragraph" w:styleId="Rodap">
    <w:name w:val="footer"/>
    <w:basedOn w:val="Normal"/>
    <w:link w:val="RodapChar"/>
    <w:uiPriority w:val="99"/>
    <w:unhideWhenUsed/>
    <w:rsid w:val="002E06AA"/>
    <w:pPr>
      <w:tabs>
        <w:tab w:val="center" w:pos="4252"/>
        <w:tab w:val="right" w:pos="8504"/>
      </w:tabs>
      <w:spacing w:after="0" w:line="240" w:lineRule="auto"/>
    </w:pPr>
  </w:style>
  <w:style w:type="character" w:customStyle="1" w:styleId="RodapChar">
    <w:name w:val="Rodapé Char"/>
    <w:basedOn w:val="Fontepargpadro"/>
    <w:link w:val="Rodap"/>
    <w:uiPriority w:val="99"/>
    <w:rsid w:val="002E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10649</Words>
  <Characters>57509</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Nérina</dc:creator>
  <cp:lastModifiedBy>User</cp:lastModifiedBy>
  <cp:revision>2</cp:revision>
  <cp:lastPrinted>2018-08-10T17:21:00Z</cp:lastPrinted>
  <dcterms:created xsi:type="dcterms:W3CDTF">2018-08-10T17:23:00Z</dcterms:created>
  <dcterms:modified xsi:type="dcterms:W3CDTF">2018-08-10T17:23:00Z</dcterms:modified>
</cp:coreProperties>
</file>