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123"/>
      </w:pPr>
      <w:r>
        <w:rPr>
          <w:w w:val="105"/>
        </w:rPr>
        <w:t>Município: Jacuizinho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5"/>
        <w:rPr>
          <w:sz w:val="16"/>
        </w:rPr>
      </w:pPr>
    </w:p>
    <w:p>
      <w:pPr>
        <w:pStyle w:val="BodyText"/>
        <w:ind w:left="123"/>
      </w:pPr>
      <w:r>
        <w:rPr>
          <w:w w:val="105"/>
        </w:rPr>
        <w:t>Período: Exercício de 2018</w:t>
      </w:r>
    </w:p>
    <w:p>
      <w:pPr>
        <w:pStyle w:val="BodyText"/>
        <w:spacing w:before="101"/>
        <w:ind w:left="123"/>
      </w:pPr>
      <w:r>
        <w:rPr>
          <w:w w:val="105"/>
        </w:rPr>
        <w:t>Unidade Gestora: 0001 - CAMARA MUNICIPAL DE VEREADORES</w:t>
      </w:r>
    </w:p>
    <w:p>
      <w:pPr>
        <w:pStyle w:val="BodyText"/>
        <w:spacing w:before="86"/>
        <w:ind w:left="131" w:right="47"/>
        <w:jc w:val="center"/>
      </w:pPr>
      <w:r>
        <w:rPr/>
        <w:br w:type="column"/>
      </w:r>
      <w:r>
        <w:rPr>
          <w:w w:val="105"/>
        </w:rPr>
        <w:t>UF: Estado do Rio Grande do Sul</w:t>
      </w:r>
    </w:p>
    <w:p>
      <w:pPr>
        <w:spacing w:before="98"/>
        <w:ind w:left="131" w:right="48" w:firstLine="0"/>
        <w:jc w:val="center"/>
        <w:rPr>
          <w:b/>
          <w:sz w:val="15"/>
        </w:rPr>
      </w:pPr>
      <w:r>
        <w:rPr>
          <w:b/>
          <w:sz w:val="15"/>
        </w:rPr>
        <w:t>DEMONSTRAÇÃO DOS FLUXOS DE CAIXA</w:t>
      </w:r>
    </w:p>
    <w:p>
      <w:pPr>
        <w:pStyle w:val="BodyText"/>
        <w:spacing w:before="86"/>
        <w:ind w:left="124"/>
      </w:pPr>
      <w:r>
        <w:rPr/>
        <w:br w:type="column"/>
      </w:r>
      <w:r>
        <w:rPr>
          <w:w w:val="105"/>
        </w:rPr>
        <w:t>Página 1 de 1</w:t>
      </w:r>
    </w:p>
    <w:p>
      <w:pPr>
        <w:spacing w:after="0"/>
        <w:sectPr>
          <w:type w:val="continuous"/>
          <w:pgSz w:w="11910" w:h="16840"/>
          <w:pgMar w:top="480" w:bottom="280" w:left="460" w:right="440"/>
          <w:cols w:num="3" w:equalWidth="0">
            <w:col w:w="3614" w:space="189"/>
            <w:col w:w="3295" w:space="2933"/>
            <w:col w:w="979"/>
          </w:cols>
        </w:sectPr>
      </w:pPr>
    </w:p>
    <w:p>
      <w:pPr>
        <w:spacing w:line="240" w:lineRule="auto" w:before="7"/>
        <w:rPr>
          <w:sz w:val="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3"/>
        <w:gridCol w:w="794"/>
        <w:gridCol w:w="2154"/>
        <w:gridCol w:w="2041"/>
      </w:tblGrid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OPERACIONAIS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701.164,93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682.385,93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correntes e recebidas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701.164,93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680.000,00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ingressos operacionais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2.385,93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683.063,14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666.317,08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Pessoal e demais despesas</w:t>
            </w:r>
          </w:p>
        </w:tc>
        <w:tc>
          <w:tcPr>
            <w:tcW w:w="794" w:type="dxa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3FC</w:t>
            </w: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527.393,03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481.844,26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concedidas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50.043,65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64.324,26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desembolsos operacionais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105.626,46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120.148,56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operacionais (I)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18.101,79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16.068,85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INVESTIMENTO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8.239,00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13.230,00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Aquisição de ativo não circulante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8.239,00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13.230,00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de investimento (II)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(8.239,00)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(13.230,00)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 LÍQUIDA DE CAIXA E EQUIVALENTE DE CAIXA (I + II + III)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9.862,79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2.838,85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inicial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2.838,85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final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12.701,64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2.838,85</w:t>
            </w:r>
          </w:p>
        </w:tc>
      </w:tr>
    </w:tbl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688" w:right="26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2FC - TRANSFERÊNCIAS RECEBIDAS E CONCEDIDAS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CORRENTES RECEBIDAS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701.164,93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680.000,00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recebidas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701.164,93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680.000,00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CONCEDIDAS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50.043,65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64.324,26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concedidas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50.043,65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64.324,26</w:t>
            </w:r>
          </w:p>
        </w:tc>
      </w:tr>
    </w:tbl>
    <w:p>
      <w:pPr>
        <w:spacing w:line="240" w:lineRule="auto" w:before="6" w:after="1"/>
        <w:rPr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690" w:right="26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Legislativa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527.393,03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481.844,26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Desembolsos de Pessoal e Demais Despesas por Função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527.393,03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481.844,26</w:t>
            </w:r>
          </w:p>
        </w:tc>
      </w:tr>
    </w:tbl>
    <w:p>
      <w:pPr>
        <w:spacing w:line="240" w:lineRule="auto" w:before="10"/>
        <w:rPr>
          <w:sz w:val="11"/>
        </w:rPr>
      </w:pPr>
    </w:p>
    <w:p>
      <w:pPr>
        <w:spacing w:line="247" w:lineRule="auto" w:before="100"/>
        <w:ind w:left="123" w:right="6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(bancos). Os valores apresentados consideram a movimentação das contas Intra</w:t>
      </w:r>
      <w:r>
        <w:rPr>
          <w:spacing w:val="-15"/>
          <w:w w:val="105"/>
          <w:sz w:val="13"/>
        </w:rPr>
        <w:t> </w:t>
      </w:r>
      <w:r>
        <w:rPr>
          <w:w w:val="105"/>
          <w:sz w:val="13"/>
        </w:rPr>
        <w:t>OFSS.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01.673004pt,11.702563pt" to="277.493174pt,11.702563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294.740479pt,11.702563pt" to="370.628602pt,11.702563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1930" w:val="left" w:leader="none"/>
        </w:tabs>
        <w:spacing w:line="100" w:lineRule="exact"/>
        <w:ind w:right="547"/>
        <w:jc w:val="center"/>
        <w:rPr>
          <w:rFonts w:ascii="Lucida Console"/>
        </w:rPr>
      </w:pPr>
      <w:r>
        <w:rPr>
          <w:rFonts w:ascii="Lucida Console"/>
          <w:w w:val="105"/>
        </w:rPr>
        <w:t>CARLOS</w:t>
      </w:r>
      <w:r>
        <w:rPr>
          <w:rFonts w:ascii="Lucida Console"/>
          <w:spacing w:val="-12"/>
          <w:w w:val="105"/>
        </w:rPr>
        <w:t> </w:t>
      </w:r>
      <w:r>
        <w:rPr>
          <w:rFonts w:ascii="Lucida Console"/>
          <w:w w:val="105"/>
        </w:rPr>
        <w:t>HENRIQUE</w:t>
      </w:r>
      <w:r>
        <w:rPr>
          <w:rFonts w:ascii="Lucida Console"/>
          <w:spacing w:val="-11"/>
          <w:w w:val="105"/>
        </w:rPr>
        <w:t> </w:t>
      </w:r>
      <w:r>
        <w:rPr>
          <w:rFonts w:ascii="Lucida Console"/>
          <w:w w:val="105"/>
        </w:rPr>
        <w:t>HEFLER</w:t>
        <w:tab/>
        <w:t>Presidente da</w:t>
      </w:r>
      <w:r>
        <w:rPr>
          <w:rFonts w:ascii="Lucida Console"/>
          <w:spacing w:val="-4"/>
          <w:w w:val="105"/>
        </w:rPr>
        <w:t> </w:t>
      </w:r>
      <w:r>
        <w:rPr>
          <w:rFonts w:ascii="Lucida Console"/>
          <w:w w:val="105"/>
        </w:rPr>
        <w:t>Camara</w:t>
      </w:r>
    </w:p>
    <w:p>
      <w:pPr>
        <w:pStyle w:val="BodyText"/>
        <w:spacing w:before="4"/>
        <w:ind w:right="2338"/>
        <w:jc w:val="center"/>
        <w:rPr>
          <w:rFonts w:ascii="Lucida Console"/>
        </w:rPr>
      </w:pPr>
      <w:r>
        <w:rPr>
          <w:rFonts w:ascii="Lucida Console"/>
          <w:w w:val="105"/>
        </w:rPr>
        <w:t>CONTADOR</w:t>
      </w: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rPr>
          <w:rFonts w:ascii="Lucida Console"/>
          <w:sz w:val="20"/>
        </w:rPr>
      </w:pPr>
    </w:p>
    <w:p>
      <w:pPr>
        <w:pStyle w:val="BodyText"/>
        <w:spacing w:before="1"/>
        <w:rPr>
          <w:rFonts w:ascii="Lucida Console"/>
          <w:sz w:val="26"/>
        </w:rPr>
      </w:pPr>
    </w:p>
    <w:p>
      <w:pPr>
        <w:pStyle w:val="BodyText"/>
        <w:tabs>
          <w:tab w:pos="9173" w:val="left" w:leader="none"/>
        </w:tabs>
        <w:spacing w:before="101"/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> </w:t>
      </w:r>
      <w:r>
        <w:rPr>
          <w:w w:val="105"/>
        </w:rPr>
        <w:t>Contabilidade</w:t>
      </w:r>
      <w:r>
        <w:rPr>
          <w:spacing w:val="-5"/>
          <w:w w:val="105"/>
        </w:rPr>
        <w:t> </w:t>
      </w:r>
      <w:r>
        <w:rPr>
          <w:w w:val="105"/>
        </w:rPr>
        <w:t>Pública</w:t>
        <w:tab/>
        <w:t>Emitido em: 24/09/2019</w:t>
      </w:r>
      <w:r>
        <w:rPr>
          <w:spacing w:val="-13"/>
          <w:w w:val="105"/>
        </w:rPr>
        <w:t> </w:t>
      </w:r>
      <w:r>
        <w:rPr>
          <w:w w:val="105"/>
        </w:rPr>
        <w:t>09:12:31</w:t>
      </w:r>
    </w:p>
    <w:sectPr>
      <w:type w:val="continuous"/>
      <w:pgSz w:w="11910" w:h="16840"/>
      <w:pgMar w:top="48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0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CP920005</dc:subject>
  <dc:title>Report</dc:title>
  <dcterms:created xsi:type="dcterms:W3CDTF">2019-09-30T19:27:31Z</dcterms:created>
  <dcterms:modified xsi:type="dcterms:W3CDTF">2019-09-30T19:27:31Z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2019-09-30T00:00:00Z</vt:filetime>
  </property>
</Properties>
</file>